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961A1" w14:textId="77777777" w:rsidR="002C2E29" w:rsidRPr="0000131B" w:rsidRDefault="004033D8" w:rsidP="00A443CF">
      <w:pPr>
        <w:pStyle w:val="HeadHatzaotHok"/>
        <w:jc w:val="right"/>
        <w:rPr>
          <w:b w:val="0"/>
          <w:bCs w:val="0"/>
          <w:szCs w:val="20"/>
        </w:rPr>
      </w:pPr>
      <w:bookmarkStart w:id="0" w:name="_GoBack"/>
      <w:bookmarkEnd w:id="0"/>
      <w:r w:rsidRPr="0000131B">
        <w:rPr>
          <w:rFonts w:hint="cs"/>
          <w:b w:val="0"/>
          <w:bCs w:val="0"/>
          <w:szCs w:val="20"/>
          <w:rtl/>
        </w:rPr>
        <w:t xml:space="preserve">מספר פנימי: </w:t>
      </w:r>
      <w:bookmarkStart w:id="1" w:name="LGS_Internal_ID"/>
      <w:r>
        <w:rPr>
          <w:rFonts w:hint="cs"/>
          <w:b w:val="0"/>
          <w:bCs w:val="0"/>
          <w:szCs w:val="20"/>
          <w:rtl/>
        </w:rPr>
        <w:t>2011630</w:t>
      </w:r>
      <w:bookmarkEnd w:id="1"/>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2" w:name="LGS_Knesset_Num"/>
      <w:r>
        <w:rPr>
          <w:rFonts w:hint="cs"/>
          <w:sz w:val="28"/>
          <w:szCs w:val="28"/>
          <w:rtl/>
        </w:rPr>
        <w:t>העשרים</w:t>
      </w:r>
      <w:bookmarkEnd w:id="2"/>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3" w:name="LGS_Initiators_List"/>
      <w:r>
        <w:rPr>
          <w:b/>
          <w:bCs/>
          <w:rtl/>
        </w:rPr>
        <w:t>יוזמת:</w:t>
      </w:r>
      <w:r>
        <w:tab/>
      </w:r>
      <w:r>
        <w:rPr>
          <w:b/>
          <w:bCs/>
          <w:rtl/>
        </w:rPr>
        <w:t xml:space="preserve">      חברת הכנסת</w:t>
      </w:r>
      <w:bookmarkEnd w:id="3"/>
      <w:r w:rsidR="00B35784" w:rsidRPr="00F67051">
        <w:rPr>
          <w:b/>
          <w:bCs/>
        </w:rPr>
        <w:tab/>
      </w:r>
      <w:bookmarkStart w:id="4" w:name="LGS_PM_Names"/>
      <w:r>
        <w:rPr>
          <w:rFonts w:hint="cs"/>
          <w:b/>
          <w:bCs/>
          <w:rtl/>
        </w:rPr>
        <w:t>מרב מיכאלי</w:t>
      </w:r>
      <w:bookmarkEnd w:id="4"/>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C" w14:textId="3C91E595" w:rsidR="00E13C27" w:rsidRDefault="00904591" w:rsidP="00173C47">
      <w:pPr>
        <w:pStyle w:val="David"/>
        <w:spacing w:before="0" w:line="240" w:lineRule="auto"/>
        <w:ind w:left="3544"/>
        <w:rPr>
          <w:rtl/>
        </w:rPr>
      </w:pPr>
      <w:r>
        <w:t xml:space="preserve">                                            </w:t>
      </w:r>
      <w:r w:rsidR="008F1308">
        <w:t xml:space="preserve"> </w:t>
      </w:r>
      <w:bookmarkStart w:id="5" w:name="Private_Number"/>
      <w:r>
        <w:rPr>
          <w:rFonts w:hint="cs"/>
          <w:rtl/>
        </w:rPr>
        <w:t>פ/3824/20</w:t>
      </w:r>
      <w:bookmarkEnd w:id="5"/>
    </w:p>
    <w:p w14:paraId="7F6961AD" w14:textId="2F01D151" w:rsidR="00E13C27" w:rsidRDefault="00A443CF" w:rsidP="00E26F55">
      <w:pPr>
        <w:pStyle w:val="HeadHatzaotHok"/>
        <w:rPr>
          <w:rtl/>
        </w:rPr>
      </w:pPr>
      <w:bookmarkStart w:id="6" w:name="LGS_Subject"/>
      <w:r>
        <w:rPr>
          <w:rFonts w:hint="cs"/>
          <w:rtl/>
        </w:rPr>
        <w:t xml:space="preserve">הצעת חוק העונשין (תיקון – החריגים לעבירת ריבוי נישואין), </w:t>
      </w:r>
      <w:proofErr w:type="spellStart"/>
      <w:r>
        <w:rPr>
          <w:rFonts w:hint="cs"/>
          <w:rtl/>
        </w:rPr>
        <w:t>התשע"ז</w:t>
      </w:r>
      <w:proofErr w:type="spellEnd"/>
      <w:r>
        <w:rPr>
          <w:rFonts w:hint="cs"/>
          <w:rtl/>
        </w:rPr>
        <w:t>–2017</w:t>
      </w:r>
      <w:bookmarkEnd w:id="6"/>
    </w:p>
    <w:p w14:paraId="4A72A550" w14:textId="77777777" w:rsidR="00173C47" w:rsidRPr="00173C47" w:rsidRDefault="00173C47" w:rsidP="0021633A">
      <w:pPr>
        <w:pStyle w:val="HeadHatzaotHok"/>
        <w:rPr>
          <w:sz w:val="12"/>
          <w:szCs w:val="12"/>
          <w:rtl/>
        </w:rPr>
      </w:pPr>
    </w:p>
    <w:tbl>
      <w:tblPr>
        <w:bidiVisual/>
        <w:tblW w:w="9819" w:type="dxa"/>
        <w:tblLayout w:type="fixed"/>
        <w:tblCellMar>
          <w:top w:w="57" w:type="dxa"/>
          <w:left w:w="0" w:type="dxa"/>
          <w:bottom w:w="57" w:type="dxa"/>
          <w:right w:w="0" w:type="dxa"/>
        </w:tblCellMar>
        <w:tblLook w:val="01E0" w:firstRow="1" w:lastRow="1" w:firstColumn="1" w:lastColumn="1" w:noHBand="0" w:noVBand="0"/>
      </w:tblPr>
      <w:tblGrid>
        <w:gridCol w:w="1899"/>
        <w:gridCol w:w="450"/>
        <w:gridCol w:w="7470"/>
      </w:tblGrid>
      <w:tr w:rsidR="00173C47" w14:paraId="7773B1C6" w14:textId="77777777" w:rsidTr="002650C5">
        <w:trPr>
          <w:cantSplit/>
          <w:trHeight w:val="60"/>
        </w:trPr>
        <w:tc>
          <w:tcPr>
            <w:tcW w:w="1899" w:type="dxa"/>
          </w:tcPr>
          <w:p w14:paraId="6B3DD873" w14:textId="77777777" w:rsidR="00173C47" w:rsidRPr="00C9442A" w:rsidRDefault="00173C47" w:rsidP="002650C5">
            <w:pPr>
              <w:pStyle w:val="TableBlock"/>
            </w:pPr>
            <w:r>
              <w:rPr>
                <w:rtl/>
              </w:rPr>
              <w:t>ביטול סעיף 179</w:t>
            </w:r>
          </w:p>
        </w:tc>
        <w:tc>
          <w:tcPr>
            <w:tcW w:w="450" w:type="dxa"/>
          </w:tcPr>
          <w:p w14:paraId="3EA5B15C" w14:textId="77777777" w:rsidR="00173C47" w:rsidRPr="00C9442A" w:rsidRDefault="00173C47" w:rsidP="002650C5">
            <w:pPr>
              <w:pStyle w:val="TableBlock"/>
            </w:pPr>
            <w:r w:rsidRPr="00C9442A">
              <w:rPr>
                <w:rtl/>
              </w:rPr>
              <w:t>1.</w:t>
            </w:r>
          </w:p>
        </w:tc>
        <w:tc>
          <w:tcPr>
            <w:tcW w:w="7470" w:type="dxa"/>
          </w:tcPr>
          <w:p w14:paraId="7591DA61" w14:textId="5C76F4C9" w:rsidR="00173C47" w:rsidRPr="00C9442A" w:rsidRDefault="00173C47" w:rsidP="00866BC4">
            <w:pPr>
              <w:pStyle w:val="TableBlock"/>
            </w:pPr>
            <w:r w:rsidRPr="00C9442A">
              <w:rPr>
                <w:rtl/>
              </w:rPr>
              <w:t xml:space="preserve">בחוק </w:t>
            </w:r>
            <w:r>
              <w:rPr>
                <w:rtl/>
              </w:rPr>
              <w:t xml:space="preserve">העונשין, </w:t>
            </w:r>
            <w:proofErr w:type="spellStart"/>
            <w:r w:rsidR="00443C9A">
              <w:rPr>
                <w:rFonts w:hint="cs"/>
                <w:rtl/>
              </w:rPr>
              <w:t>ה</w:t>
            </w:r>
            <w:r>
              <w:rPr>
                <w:rtl/>
              </w:rPr>
              <w:t>תשל"ז</w:t>
            </w:r>
            <w:proofErr w:type="spellEnd"/>
            <w:r>
              <w:rPr>
                <w:rtl/>
              </w:rPr>
              <w:t>–1977</w:t>
            </w:r>
            <w:r w:rsidR="00443C9A">
              <w:rPr>
                <w:rStyle w:val="FootnoteReference"/>
                <w:rtl/>
              </w:rPr>
              <w:footnoteReference w:id="2"/>
            </w:r>
            <w:r w:rsidR="009D0C1E">
              <w:rPr>
                <w:rFonts w:hint="cs"/>
                <w:rtl/>
              </w:rPr>
              <w:t xml:space="preserve"> (להלן </w:t>
            </w:r>
            <w:r w:rsidR="009D0C1E">
              <w:rPr>
                <w:rtl/>
              </w:rPr>
              <w:t>–</w:t>
            </w:r>
            <w:r w:rsidR="009D0C1E">
              <w:rPr>
                <w:rFonts w:hint="cs"/>
                <w:rtl/>
              </w:rPr>
              <w:t xml:space="preserve"> החוק העיקרי)</w:t>
            </w:r>
            <w:r w:rsidR="003E4A6E">
              <w:rPr>
                <w:rtl/>
              </w:rPr>
              <w:t>, סעיף 179</w:t>
            </w:r>
            <w:r w:rsidR="003E4A6E">
              <w:rPr>
                <w:rFonts w:hint="cs"/>
                <w:rtl/>
              </w:rPr>
              <w:t xml:space="preserve"> – </w:t>
            </w:r>
            <w:r>
              <w:rPr>
                <w:rtl/>
              </w:rPr>
              <w:t>בטל.</w:t>
            </w:r>
          </w:p>
        </w:tc>
      </w:tr>
      <w:tr w:rsidR="00293466" w14:paraId="5834E254" w14:textId="77777777" w:rsidTr="002650C5">
        <w:trPr>
          <w:cantSplit/>
          <w:trHeight w:val="60"/>
        </w:trPr>
        <w:tc>
          <w:tcPr>
            <w:tcW w:w="1899" w:type="dxa"/>
          </w:tcPr>
          <w:p w14:paraId="11ADEA71" w14:textId="6E989806" w:rsidR="00293466" w:rsidRDefault="00293466" w:rsidP="00293466">
            <w:pPr>
              <w:pStyle w:val="TableBlock"/>
              <w:rPr>
                <w:rtl/>
              </w:rPr>
            </w:pPr>
            <w:r>
              <w:rPr>
                <w:rtl/>
              </w:rPr>
              <w:t>תיקון סעיף 180</w:t>
            </w:r>
          </w:p>
        </w:tc>
        <w:tc>
          <w:tcPr>
            <w:tcW w:w="450" w:type="dxa"/>
          </w:tcPr>
          <w:p w14:paraId="5807B349" w14:textId="16C5E81F" w:rsidR="00293466" w:rsidRPr="00C9442A" w:rsidRDefault="00293466" w:rsidP="00293466">
            <w:pPr>
              <w:pStyle w:val="TableBlock"/>
              <w:rPr>
                <w:rtl/>
              </w:rPr>
            </w:pPr>
            <w:r>
              <w:rPr>
                <w:rtl/>
              </w:rPr>
              <w:t>2.</w:t>
            </w:r>
          </w:p>
        </w:tc>
        <w:tc>
          <w:tcPr>
            <w:tcW w:w="7470" w:type="dxa"/>
          </w:tcPr>
          <w:p w14:paraId="3A75E73D" w14:textId="7B021A88" w:rsidR="00293466" w:rsidRDefault="00293466" w:rsidP="00293466">
            <w:pPr>
              <w:pStyle w:val="TableBlock"/>
              <w:rPr>
                <w:rtl/>
              </w:rPr>
            </w:pPr>
            <w:r>
              <w:rPr>
                <w:rtl/>
              </w:rPr>
              <w:t>בסעיף 180</w:t>
            </w:r>
            <w:r w:rsidR="003E4A6E">
              <w:rPr>
                <w:rFonts w:hint="cs"/>
                <w:rtl/>
              </w:rPr>
              <w:t xml:space="preserve"> לחוק העיקרי </w:t>
            </w:r>
            <w:r w:rsidR="003E4A6E">
              <w:rPr>
                <w:rFonts w:hint="eastAsia"/>
                <w:rtl/>
              </w:rPr>
              <w:t>–</w:t>
            </w:r>
            <w:r>
              <w:rPr>
                <w:rFonts w:hint="cs"/>
                <w:rtl/>
              </w:rPr>
              <w:t xml:space="preserve"> </w:t>
            </w:r>
          </w:p>
        </w:tc>
      </w:tr>
      <w:tr w:rsidR="00157991" w14:paraId="2B599A1D" w14:textId="77777777" w:rsidTr="002650C5">
        <w:trPr>
          <w:cantSplit/>
          <w:trHeight w:val="60"/>
        </w:trPr>
        <w:tc>
          <w:tcPr>
            <w:tcW w:w="1899" w:type="dxa"/>
          </w:tcPr>
          <w:p w14:paraId="1056C4D5" w14:textId="77777777" w:rsidR="00157991" w:rsidRDefault="00157991" w:rsidP="00293466">
            <w:pPr>
              <w:pStyle w:val="TableBlock"/>
              <w:rPr>
                <w:rtl/>
              </w:rPr>
            </w:pPr>
          </w:p>
        </w:tc>
        <w:tc>
          <w:tcPr>
            <w:tcW w:w="450" w:type="dxa"/>
          </w:tcPr>
          <w:p w14:paraId="6BC9EA01" w14:textId="77777777" w:rsidR="00157991" w:rsidRDefault="00157991" w:rsidP="00293466">
            <w:pPr>
              <w:pStyle w:val="TableBlock"/>
              <w:rPr>
                <w:rtl/>
              </w:rPr>
            </w:pPr>
          </w:p>
        </w:tc>
        <w:tc>
          <w:tcPr>
            <w:tcW w:w="7470" w:type="dxa"/>
          </w:tcPr>
          <w:p w14:paraId="3C232545" w14:textId="73701F68" w:rsidR="00157991" w:rsidRDefault="00157991" w:rsidP="00293466">
            <w:pPr>
              <w:pStyle w:val="TableBlock"/>
              <w:rPr>
                <w:rtl/>
              </w:rPr>
            </w:pPr>
            <w:r>
              <w:rPr>
                <w:rFonts w:hint="cs"/>
                <w:rtl/>
              </w:rPr>
              <w:t xml:space="preserve">(1) </w:t>
            </w:r>
            <w:r>
              <w:rPr>
                <w:rtl/>
              </w:rPr>
              <w:tab/>
            </w:r>
            <w:r>
              <w:rPr>
                <w:rFonts w:hint="cs"/>
                <w:rtl/>
              </w:rPr>
              <w:t>במקום כותרת השוליים יבוא "התרת נישואין";</w:t>
            </w:r>
          </w:p>
        </w:tc>
      </w:tr>
      <w:tr w:rsidR="00293466" w14:paraId="1DFBC0A1" w14:textId="77777777" w:rsidTr="002650C5">
        <w:trPr>
          <w:cantSplit/>
          <w:trHeight w:val="60"/>
        </w:trPr>
        <w:tc>
          <w:tcPr>
            <w:tcW w:w="1899" w:type="dxa"/>
          </w:tcPr>
          <w:p w14:paraId="2C77E08F" w14:textId="6894CF2C" w:rsidR="00293466" w:rsidRDefault="00293466" w:rsidP="00293466">
            <w:pPr>
              <w:pStyle w:val="TableBlock"/>
              <w:rPr>
                <w:rtl/>
              </w:rPr>
            </w:pPr>
          </w:p>
        </w:tc>
        <w:tc>
          <w:tcPr>
            <w:tcW w:w="450" w:type="dxa"/>
          </w:tcPr>
          <w:p w14:paraId="0DEE8985" w14:textId="2FDCAD71" w:rsidR="00293466" w:rsidRPr="00C9442A" w:rsidRDefault="00293466" w:rsidP="00293466">
            <w:pPr>
              <w:pStyle w:val="TableBlock"/>
              <w:rPr>
                <w:rtl/>
              </w:rPr>
            </w:pPr>
          </w:p>
        </w:tc>
        <w:tc>
          <w:tcPr>
            <w:tcW w:w="7470" w:type="dxa"/>
          </w:tcPr>
          <w:p w14:paraId="12AD50A7" w14:textId="113F48DA" w:rsidR="00293466" w:rsidRPr="00C9442A" w:rsidRDefault="00293466" w:rsidP="003E4A6E">
            <w:pPr>
              <w:pStyle w:val="TableBlock"/>
              <w:rPr>
                <w:rtl/>
              </w:rPr>
            </w:pPr>
            <w:r>
              <w:rPr>
                <w:rFonts w:hint="cs"/>
                <w:rtl/>
              </w:rPr>
              <w:t>(</w:t>
            </w:r>
            <w:r w:rsidR="00157991">
              <w:rPr>
                <w:rFonts w:hint="cs"/>
                <w:rtl/>
              </w:rPr>
              <w:t>2</w:t>
            </w:r>
            <w:r>
              <w:rPr>
                <w:rFonts w:hint="cs"/>
                <w:rtl/>
              </w:rPr>
              <w:t xml:space="preserve">) </w:t>
            </w:r>
            <w:r w:rsidR="003E4A6E">
              <w:rPr>
                <w:rtl/>
              </w:rPr>
              <w:tab/>
            </w:r>
            <w:proofErr w:type="spellStart"/>
            <w:r w:rsidR="003E4A6E">
              <w:rPr>
                <w:rtl/>
              </w:rPr>
              <w:t>הריש</w:t>
            </w:r>
            <w:r w:rsidR="003E4A6E">
              <w:rPr>
                <w:rFonts w:hint="cs"/>
                <w:rtl/>
              </w:rPr>
              <w:t>ה</w:t>
            </w:r>
            <w:proofErr w:type="spellEnd"/>
            <w:r>
              <w:rPr>
                <w:rtl/>
              </w:rPr>
              <w:t xml:space="preserve"> </w:t>
            </w:r>
            <w:r>
              <w:rPr>
                <w:rFonts w:hint="cs"/>
                <w:rtl/>
              </w:rPr>
              <w:t xml:space="preserve">החל במילים </w:t>
            </w:r>
            <w:r>
              <w:rPr>
                <w:rtl/>
              </w:rPr>
              <w:t>"לא היה הדין החל על הנישואין החדשים דין התורה</w:t>
            </w:r>
            <w:r>
              <w:rPr>
                <w:rFonts w:hint="cs"/>
                <w:rtl/>
              </w:rPr>
              <w:t xml:space="preserve">" </w:t>
            </w:r>
            <w:r w:rsidR="003E4A6E">
              <w:rPr>
                <w:rFonts w:hint="eastAsia"/>
                <w:rtl/>
              </w:rPr>
              <w:t>–</w:t>
            </w:r>
            <w:r>
              <w:rPr>
                <w:rFonts w:hint="cs"/>
                <w:rtl/>
              </w:rPr>
              <w:t xml:space="preserve"> תימחק;</w:t>
            </w:r>
            <w:r>
              <w:rPr>
                <w:rFonts w:hint="cs"/>
              </w:rPr>
              <w:t xml:space="preserve"> </w:t>
            </w:r>
          </w:p>
        </w:tc>
      </w:tr>
      <w:tr w:rsidR="00293466" w14:paraId="12784CD9" w14:textId="77777777" w:rsidTr="002650C5">
        <w:trPr>
          <w:cantSplit/>
          <w:trHeight w:val="60"/>
        </w:trPr>
        <w:tc>
          <w:tcPr>
            <w:tcW w:w="1899" w:type="dxa"/>
          </w:tcPr>
          <w:p w14:paraId="34FF5815" w14:textId="63257443" w:rsidR="00293466" w:rsidRDefault="00293466" w:rsidP="00293466">
            <w:pPr>
              <w:pStyle w:val="TableBlock"/>
              <w:rPr>
                <w:rtl/>
              </w:rPr>
            </w:pPr>
          </w:p>
        </w:tc>
        <w:tc>
          <w:tcPr>
            <w:tcW w:w="450" w:type="dxa"/>
          </w:tcPr>
          <w:p w14:paraId="42E2FB11" w14:textId="77777777" w:rsidR="00293466" w:rsidRDefault="00293466" w:rsidP="00293466">
            <w:pPr>
              <w:pStyle w:val="TableBlock"/>
              <w:rPr>
                <w:rtl/>
              </w:rPr>
            </w:pPr>
          </w:p>
        </w:tc>
        <w:tc>
          <w:tcPr>
            <w:tcW w:w="7470" w:type="dxa"/>
          </w:tcPr>
          <w:p w14:paraId="18C68210" w14:textId="2EC4118B" w:rsidR="00293466" w:rsidRDefault="00293466" w:rsidP="00866BC4">
            <w:pPr>
              <w:pStyle w:val="TableBlock"/>
              <w:rPr>
                <w:rtl/>
              </w:rPr>
            </w:pPr>
            <w:r>
              <w:rPr>
                <w:rFonts w:hint="cs"/>
                <w:rtl/>
              </w:rPr>
              <w:t>(</w:t>
            </w:r>
            <w:r w:rsidR="00157991">
              <w:rPr>
                <w:rFonts w:hint="cs"/>
                <w:rtl/>
              </w:rPr>
              <w:t>3</w:t>
            </w:r>
            <w:r>
              <w:rPr>
                <w:rFonts w:hint="cs"/>
                <w:rtl/>
              </w:rPr>
              <w:t>)</w:t>
            </w:r>
            <w:r>
              <w:rPr>
                <w:rtl/>
              </w:rPr>
              <w:tab/>
              <w:t xml:space="preserve">אחרי "בית הדין המוסמך" </w:t>
            </w:r>
            <w:r>
              <w:rPr>
                <w:rFonts w:hint="cs"/>
                <w:rtl/>
              </w:rPr>
              <w:t>יבוא</w:t>
            </w:r>
            <w:r>
              <w:rPr>
                <w:rtl/>
              </w:rPr>
              <w:t xml:space="preserve"> "ופסק הדין אושר בידי ראש העדה הדתית"</w:t>
            </w:r>
            <w:r w:rsidR="00157991">
              <w:rPr>
                <w:rFonts w:hint="cs"/>
                <w:rtl/>
              </w:rPr>
              <w:t>;</w:t>
            </w:r>
          </w:p>
        </w:tc>
      </w:tr>
      <w:tr w:rsidR="002836FA" w14:paraId="0C26060C" w14:textId="77777777" w:rsidTr="002650C5">
        <w:trPr>
          <w:cantSplit/>
          <w:trHeight w:val="60"/>
        </w:trPr>
        <w:tc>
          <w:tcPr>
            <w:tcW w:w="1899" w:type="dxa"/>
          </w:tcPr>
          <w:p w14:paraId="07104F46" w14:textId="0C9A799C" w:rsidR="002836FA" w:rsidRDefault="002836FA" w:rsidP="00293466">
            <w:pPr>
              <w:pStyle w:val="TableBlock"/>
              <w:rPr>
                <w:rtl/>
              </w:rPr>
            </w:pPr>
          </w:p>
        </w:tc>
        <w:tc>
          <w:tcPr>
            <w:tcW w:w="450" w:type="dxa"/>
          </w:tcPr>
          <w:p w14:paraId="17BDDFCA" w14:textId="77777777" w:rsidR="002836FA" w:rsidRDefault="002836FA" w:rsidP="00293466">
            <w:pPr>
              <w:pStyle w:val="TableBlock"/>
              <w:rPr>
                <w:rtl/>
              </w:rPr>
            </w:pPr>
          </w:p>
        </w:tc>
        <w:tc>
          <w:tcPr>
            <w:tcW w:w="7470" w:type="dxa"/>
          </w:tcPr>
          <w:p w14:paraId="6A3EF410" w14:textId="43DA89AB" w:rsidR="002836FA" w:rsidRDefault="002836FA" w:rsidP="003E4A6E">
            <w:pPr>
              <w:pStyle w:val="TableBlock"/>
              <w:rPr>
                <w:rtl/>
              </w:rPr>
            </w:pPr>
            <w:r>
              <w:rPr>
                <w:rFonts w:hint="cs"/>
                <w:rtl/>
              </w:rPr>
              <w:t>(</w:t>
            </w:r>
            <w:r w:rsidR="00157991">
              <w:rPr>
                <w:rFonts w:hint="cs"/>
                <w:rtl/>
              </w:rPr>
              <w:t>4</w:t>
            </w:r>
            <w:r>
              <w:rPr>
                <w:rFonts w:hint="cs"/>
                <w:rtl/>
              </w:rPr>
              <w:t xml:space="preserve">) </w:t>
            </w:r>
            <w:r>
              <w:rPr>
                <w:rtl/>
              </w:rPr>
              <w:tab/>
            </w:r>
            <w:r>
              <w:rPr>
                <w:rFonts w:hint="cs"/>
                <w:rtl/>
              </w:rPr>
              <w:t>בסעיף קטן (1), אחרי "מחמת מחלת נפש שלקה בה" יבוא "או מחמת תרדמת הנמשכת למעלה משנתיים".</w:t>
            </w:r>
          </w:p>
        </w:tc>
      </w:tr>
      <w:tr w:rsidR="00293466" w14:paraId="6E8E620A" w14:textId="77777777" w:rsidTr="002650C5">
        <w:trPr>
          <w:cantSplit/>
          <w:trHeight w:val="60"/>
        </w:trPr>
        <w:tc>
          <w:tcPr>
            <w:tcW w:w="1899" w:type="dxa"/>
          </w:tcPr>
          <w:p w14:paraId="5E19AF89" w14:textId="1856BEBD" w:rsidR="00293466" w:rsidRDefault="00293466" w:rsidP="00293466">
            <w:pPr>
              <w:pStyle w:val="TableBlock"/>
              <w:rPr>
                <w:rtl/>
              </w:rPr>
            </w:pPr>
            <w:r>
              <w:rPr>
                <w:rtl/>
              </w:rPr>
              <w:t>תיקון סעיף 182</w:t>
            </w:r>
          </w:p>
        </w:tc>
        <w:tc>
          <w:tcPr>
            <w:tcW w:w="450" w:type="dxa"/>
          </w:tcPr>
          <w:p w14:paraId="1A700CD0" w14:textId="77777777" w:rsidR="00293466" w:rsidRDefault="00293466" w:rsidP="00293466">
            <w:pPr>
              <w:pStyle w:val="TableBlock"/>
              <w:rPr>
                <w:rtl/>
              </w:rPr>
            </w:pPr>
            <w:r>
              <w:rPr>
                <w:rtl/>
              </w:rPr>
              <w:t>3.</w:t>
            </w:r>
          </w:p>
        </w:tc>
        <w:tc>
          <w:tcPr>
            <w:tcW w:w="7470" w:type="dxa"/>
          </w:tcPr>
          <w:p w14:paraId="57A84C92" w14:textId="25BD7252" w:rsidR="00293466" w:rsidRDefault="003E4A6E" w:rsidP="003E4A6E">
            <w:pPr>
              <w:pStyle w:val="TableBlock"/>
              <w:rPr>
                <w:rtl/>
              </w:rPr>
            </w:pPr>
            <w:r>
              <w:rPr>
                <w:rtl/>
              </w:rPr>
              <w:t>בסעיף 182</w:t>
            </w:r>
            <w:r>
              <w:rPr>
                <w:rFonts w:hint="cs"/>
                <w:rtl/>
              </w:rPr>
              <w:t xml:space="preserve">(א) </w:t>
            </w:r>
            <w:r w:rsidR="00293466">
              <w:rPr>
                <w:rFonts w:hint="cs"/>
                <w:rtl/>
              </w:rPr>
              <w:t xml:space="preserve">לחוק העיקרי, </w:t>
            </w:r>
            <w:r w:rsidR="00293466">
              <w:rPr>
                <w:rtl/>
              </w:rPr>
              <w:t xml:space="preserve">אחרי "המסדר" </w:t>
            </w:r>
            <w:r w:rsidR="00293466">
              <w:rPr>
                <w:rFonts w:hint="cs"/>
                <w:rtl/>
              </w:rPr>
              <w:t>יבוא</w:t>
            </w:r>
            <w:r w:rsidR="00293466">
              <w:rPr>
                <w:rtl/>
              </w:rPr>
              <w:t xml:space="preserve"> "או הנ</w:t>
            </w:r>
            <w:r w:rsidR="00293466">
              <w:rPr>
                <w:rFonts w:hint="cs"/>
                <w:rtl/>
              </w:rPr>
              <w:t>ו</w:t>
            </w:r>
            <w:r w:rsidR="00293466">
              <w:rPr>
                <w:rtl/>
              </w:rPr>
              <w:t>תן היתר".</w:t>
            </w:r>
          </w:p>
        </w:tc>
      </w:tr>
    </w:tbl>
    <w:p w14:paraId="7F6961CA" w14:textId="77777777" w:rsidR="002D1EE3" w:rsidRDefault="002D1EE3" w:rsidP="002D1EE3">
      <w:pPr>
        <w:pStyle w:val="HeadDivreiHesber"/>
        <w:rPr>
          <w:rtl/>
        </w:rPr>
      </w:pPr>
      <w:r w:rsidRPr="0027450A">
        <w:rPr>
          <w:rFonts w:hint="cs"/>
          <w:rtl/>
        </w:rPr>
        <w:t>דברי הסבר</w:t>
      </w:r>
    </w:p>
    <w:p w14:paraId="31124363" w14:textId="4DB1E7A7" w:rsidR="00173C47" w:rsidRPr="00866BC4" w:rsidRDefault="00173C47" w:rsidP="003E4A6E">
      <w:pPr>
        <w:pStyle w:val="Hesber"/>
        <w:rPr>
          <w:rtl/>
        </w:rPr>
      </w:pPr>
      <w:r w:rsidRPr="00866BC4">
        <w:rPr>
          <w:rtl/>
        </w:rPr>
        <w:t xml:space="preserve">נישואין וגירושין בישראל נערכים על פי הדין האישי שאליו משתייך האדם. בהתאם לדין תורה ולדין </w:t>
      </w:r>
      <w:proofErr w:type="spellStart"/>
      <w:r w:rsidRPr="00866BC4">
        <w:rPr>
          <w:rtl/>
        </w:rPr>
        <w:t>השרעי</w:t>
      </w:r>
      <w:proofErr w:type="spellEnd"/>
      <w:r w:rsidRPr="00866BC4">
        <w:rPr>
          <w:rtl/>
        </w:rPr>
        <w:t xml:space="preserve"> גבר יכול לשאת יותר מא</w:t>
      </w:r>
      <w:r w:rsidR="001A66E4">
        <w:rPr>
          <w:rFonts w:hint="cs"/>
          <w:rtl/>
        </w:rPr>
        <w:t>י</w:t>
      </w:r>
      <w:r w:rsidRPr="00866BC4">
        <w:rPr>
          <w:rtl/>
        </w:rPr>
        <w:t xml:space="preserve">שה אחת. אמנם מרבית היהודים נוהגים כבר למעלה מאלף </w:t>
      </w:r>
      <w:r w:rsidR="003E4A6E">
        <w:rPr>
          <w:rFonts w:hint="cs"/>
          <w:rtl/>
        </w:rPr>
        <w:t>שנים</w:t>
      </w:r>
      <w:r w:rsidRPr="00866BC4">
        <w:rPr>
          <w:rtl/>
        </w:rPr>
        <w:t xml:space="preserve"> שלא לשאת יותר מא</w:t>
      </w:r>
      <w:r w:rsidR="001A66E4">
        <w:rPr>
          <w:rFonts w:hint="cs"/>
          <w:rtl/>
        </w:rPr>
        <w:t>י</w:t>
      </w:r>
      <w:r w:rsidRPr="00866BC4">
        <w:rPr>
          <w:rtl/>
        </w:rPr>
        <w:t xml:space="preserve">שה אחת (בין היתר מכוח חרם </w:t>
      </w:r>
      <w:proofErr w:type="spellStart"/>
      <w:r w:rsidR="005C2C72">
        <w:rPr>
          <w:rFonts w:hint="cs"/>
          <w:rtl/>
        </w:rPr>
        <w:t>ד</w:t>
      </w:r>
      <w:r w:rsidRPr="00866BC4">
        <w:rPr>
          <w:rtl/>
        </w:rPr>
        <w:t>רבינו</w:t>
      </w:r>
      <w:proofErr w:type="spellEnd"/>
      <w:r w:rsidRPr="00866BC4">
        <w:rPr>
          <w:rtl/>
        </w:rPr>
        <w:t xml:space="preserve"> גרשום), אך בית הדין הדתי יכול להתיר לשאת א</w:t>
      </w:r>
      <w:r w:rsidR="009724E0" w:rsidRPr="00866BC4">
        <w:rPr>
          <w:rtl/>
        </w:rPr>
        <w:t>י</w:t>
      </w:r>
      <w:r w:rsidRPr="00866BC4">
        <w:rPr>
          <w:rtl/>
        </w:rPr>
        <w:t>שה שנ</w:t>
      </w:r>
      <w:r w:rsidR="00D87002">
        <w:rPr>
          <w:rFonts w:hint="cs"/>
          <w:rtl/>
        </w:rPr>
        <w:t>י</w:t>
      </w:r>
      <w:r w:rsidRPr="00866BC4">
        <w:rPr>
          <w:rtl/>
        </w:rPr>
        <w:t>יה במקרים חריגים ואם מתקיימים נישואי</w:t>
      </w:r>
      <w:r w:rsidR="00A35616">
        <w:rPr>
          <w:rFonts w:hint="cs"/>
          <w:rtl/>
        </w:rPr>
        <w:t>ם</w:t>
      </w:r>
      <w:r w:rsidRPr="00866BC4">
        <w:rPr>
          <w:rtl/>
        </w:rPr>
        <w:t xml:space="preserve"> כאלה בפועל, אף ללא היתר, הם בעלי תוקף מבחינת משפטית. בדין </w:t>
      </w:r>
      <w:proofErr w:type="spellStart"/>
      <w:r w:rsidRPr="00866BC4">
        <w:rPr>
          <w:rtl/>
        </w:rPr>
        <w:t>השרעי</w:t>
      </w:r>
      <w:proofErr w:type="spellEnd"/>
      <w:r w:rsidRPr="00866BC4">
        <w:rPr>
          <w:rtl/>
        </w:rPr>
        <w:t xml:space="preserve">, לעומת זאת, ישנן עד היום דעות הטוענות כי לגבר מותר להיות נשוי </w:t>
      </w:r>
      <w:r w:rsidR="005C2C72">
        <w:rPr>
          <w:rFonts w:hint="cs"/>
          <w:rtl/>
        </w:rPr>
        <w:t>ל</w:t>
      </w:r>
      <w:r w:rsidR="005C2C72">
        <w:rPr>
          <w:rtl/>
        </w:rPr>
        <w:t xml:space="preserve">עד </w:t>
      </w:r>
      <w:r w:rsidRPr="00866BC4">
        <w:rPr>
          <w:rtl/>
        </w:rPr>
        <w:t xml:space="preserve">ארבע נשים במקביל. </w:t>
      </w:r>
    </w:p>
    <w:p w14:paraId="24AFEB62" w14:textId="5812C1F8" w:rsidR="00173C47" w:rsidRPr="00A35616" w:rsidRDefault="00173C47" w:rsidP="00D87002">
      <w:pPr>
        <w:pStyle w:val="Hesber"/>
        <w:rPr>
          <w:rtl/>
        </w:rPr>
      </w:pPr>
      <w:r w:rsidRPr="00A35616">
        <w:rPr>
          <w:rtl/>
        </w:rPr>
        <w:t>על מנת להילחם בפוליגמיה נקבע בישראל כי פ</w:t>
      </w:r>
      <w:r w:rsidR="005C2C72">
        <w:rPr>
          <w:rtl/>
        </w:rPr>
        <w:t>וליגמיה הי</w:t>
      </w:r>
      <w:r w:rsidR="005C2C72">
        <w:rPr>
          <w:rFonts w:hint="cs"/>
          <w:rtl/>
        </w:rPr>
        <w:t>א</w:t>
      </w:r>
      <w:r w:rsidRPr="00A35616">
        <w:rPr>
          <w:rtl/>
        </w:rPr>
        <w:t xml:space="preserve"> עבירה פלילית. על פי סעיף 176 לחוק העונשין, </w:t>
      </w:r>
      <w:proofErr w:type="spellStart"/>
      <w:r w:rsidR="00381CAF">
        <w:rPr>
          <w:rFonts w:hint="cs"/>
          <w:rtl/>
        </w:rPr>
        <w:t>ה</w:t>
      </w:r>
      <w:r w:rsidR="003E4A6E">
        <w:rPr>
          <w:rtl/>
        </w:rPr>
        <w:t>תשל"ז</w:t>
      </w:r>
      <w:proofErr w:type="spellEnd"/>
      <w:r w:rsidR="003E4A6E">
        <w:rPr>
          <w:rtl/>
        </w:rPr>
        <w:t>–1977 (להלן</w:t>
      </w:r>
      <w:r w:rsidR="003E4A6E">
        <w:rPr>
          <w:rFonts w:hint="cs"/>
          <w:rtl/>
        </w:rPr>
        <w:t xml:space="preserve"> – </w:t>
      </w:r>
      <w:r w:rsidR="003E4A6E">
        <w:rPr>
          <w:rtl/>
        </w:rPr>
        <w:t>החוק</w:t>
      </w:r>
      <w:r w:rsidRPr="00A35616">
        <w:rPr>
          <w:rtl/>
        </w:rPr>
        <w:t>), ריבוי נשים מהווה עבירה פלילית, והנושא יותר מא</w:t>
      </w:r>
      <w:r w:rsidR="001A66E4">
        <w:rPr>
          <w:rFonts w:hint="cs"/>
          <w:rtl/>
        </w:rPr>
        <w:t>י</w:t>
      </w:r>
      <w:r w:rsidRPr="00A35616">
        <w:rPr>
          <w:rtl/>
        </w:rPr>
        <w:t>שה אחת צפוי לעונש של עד חמש שנות מאסר. החוק אף קובע עונש מאסר של חצי שנה למי שמסדר נישואים שהם אסורים (</w:t>
      </w:r>
      <w:r w:rsidR="00381CAF" w:rsidRPr="00A35616">
        <w:rPr>
          <w:rtl/>
        </w:rPr>
        <w:t>סע</w:t>
      </w:r>
      <w:r w:rsidR="00381CAF">
        <w:rPr>
          <w:rFonts w:hint="cs"/>
          <w:rtl/>
        </w:rPr>
        <w:t>יף</w:t>
      </w:r>
      <w:r w:rsidR="00381CAF" w:rsidRPr="00A35616">
        <w:rPr>
          <w:rtl/>
        </w:rPr>
        <w:t xml:space="preserve"> </w:t>
      </w:r>
      <w:r w:rsidRPr="00A35616">
        <w:rPr>
          <w:rtl/>
        </w:rPr>
        <w:t>182 לחוק). איסור זה משקף א</w:t>
      </w:r>
      <w:r w:rsidR="005C2C72">
        <w:rPr>
          <w:rtl/>
        </w:rPr>
        <w:t>ת עמדת המחוקק לפיה מונוגמיה הי</w:t>
      </w:r>
      <w:r w:rsidR="005C2C72">
        <w:rPr>
          <w:rFonts w:hint="cs"/>
          <w:rtl/>
        </w:rPr>
        <w:t>א</w:t>
      </w:r>
      <w:r w:rsidRPr="00A35616">
        <w:rPr>
          <w:rtl/>
        </w:rPr>
        <w:t xml:space="preserve"> ערך מוסרי חברתי שאין לפגוע בו, וכי ריבוי נישואין חותר תחת יסודות הסדר החברתי התקין. איסור זה אף בא למנוע פגיעה </w:t>
      </w:r>
      <w:r w:rsidRPr="00A35616">
        <w:rPr>
          <w:rtl/>
        </w:rPr>
        <w:lastRenderedPageBreak/>
        <w:t xml:space="preserve">בזכויותיהן של נשים לשוויון ולכבוד, עבירה אשר נוגדת את חוק שיווי זכויות האישה, </w:t>
      </w:r>
      <w:proofErr w:type="spellStart"/>
      <w:r w:rsidR="001A66E4">
        <w:rPr>
          <w:rFonts w:hint="cs"/>
          <w:rtl/>
        </w:rPr>
        <w:t>ה</w:t>
      </w:r>
      <w:r w:rsidRPr="00A35616">
        <w:rPr>
          <w:rtl/>
        </w:rPr>
        <w:t>תשי"א</w:t>
      </w:r>
      <w:proofErr w:type="spellEnd"/>
      <w:r w:rsidRPr="00A35616">
        <w:rPr>
          <w:rtl/>
        </w:rPr>
        <w:t>–195</w:t>
      </w:r>
      <w:r w:rsidR="001A66E4">
        <w:rPr>
          <w:rFonts w:hint="cs"/>
          <w:rtl/>
        </w:rPr>
        <w:t>1,</w:t>
      </w:r>
      <w:r w:rsidRPr="00A35616">
        <w:rPr>
          <w:rtl/>
        </w:rPr>
        <w:t xml:space="preserve"> </w:t>
      </w:r>
      <w:r w:rsidR="003E4A6E">
        <w:rPr>
          <w:rtl/>
        </w:rPr>
        <w:t>ואת חוק</w:t>
      </w:r>
      <w:r w:rsidR="003E4A6E">
        <w:rPr>
          <w:rFonts w:hint="cs"/>
          <w:rtl/>
        </w:rPr>
        <w:t>-</w:t>
      </w:r>
      <w:r w:rsidRPr="00A35616">
        <w:rPr>
          <w:rtl/>
        </w:rPr>
        <w:t>יסוד: כבוד האדם וחירותו. מוסד הנישואין המונוגמי שומר על זכויות הא</w:t>
      </w:r>
      <w:r w:rsidR="009724E0" w:rsidRPr="00A35616">
        <w:rPr>
          <w:rFonts w:hint="eastAsia"/>
          <w:rtl/>
        </w:rPr>
        <w:t>י</w:t>
      </w:r>
      <w:r w:rsidRPr="00A35616">
        <w:rPr>
          <w:rtl/>
        </w:rPr>
        <w:t>שה, כך שבעלה לא י</w:t>
      </w:r>
      <w:r w:rsidR="009724E0" w:rsidRPr="00A35616">
        <w:rPr>
          <w:rFonts w:hint="eastAsia"/>
          <w:rtl/>
        </w:rPr>
        <w:t>י</w:t>
      </w:r>
      <w:r w:rsidRPr="00A35616">
        <w:rPr>
          <w:rtl/>
        </w:rPr>
        <w:t>קח</w:t>
      </w:r>
      <w:r w:rsidR="001A66E4">
        <w:rPr>
          <w:rFonts w:hint="cs"/>
          <w:rtl/>
        </w:rPr>
        <w:t xml:space="preserve"> </w:t>
      </w:r>
      <w:r w:rsidRPr="00A35616">
        <w:rPr>
          <w:rtl/>
        </w:rPr>
        <w:t>א</w:t>
      </w:r>
      <w:r w:rsidR="009724E0" w:rsidRPr="00A35616">
        <w:rPr>
          <w:rFonts w:hint="eastAsia"/>
          <w:rtl/>
        </w:rPr>
        <w:t>י</w:t>
      </w:r>
      <w:r w:rsidRPr="00A35616">
        <w:rPr>
          <w:rtl/>
        </w:rPr>
        <w:t>שה אחרת ויגרע מזכויותיה ו</w:t>
      </w:r>
      <w:r w:rsidR="001A66E4">
        <w:rPr>
          <w:rFonts w:hint="cs"/>
          <w:rtl/>
        </w:rPr>
        <w:t xml:space="preserve">כן </w:t>
      </w:r>
      <w:r w:rsidRPr="00A35616">
        <w:rPr>
          <w:rtl/>
        </w:rPr>
        <w:t>יש בו גם כדי להשוות בין זכויות הא</w:t>
      </w:r>
      <w:r w:rsidR="00A35616">
        <w:rPr>
          <w:rFonts w:hint="cs"/>
          <w:rtl/>
        </w:rPr>
        <w:t>י</w:t>
      </w:r>
      <w:r w:rsidRPr="00A35616">
        <w:rPr>
          <w:rtl/>
        </w:rPr>
        <w:t xml:space="preserve">שה לאלה של הגבר </w:t>
      </w:r>
      <w:r w:rsidR="00D87002">
        <w:rPr>
          <w:rFonts w:hint="cs"/>
          <w:rtl/>
        </w:rPr>
        <w:t>–</w:t>
      </w:r>
      <w:r w:rsidRPr="00A35616">
        <w:rPr>
          <w:rtl/>
        </w:rPr>
        <w:t xml:space="preserve"> כשם שא</w:t>
      </w:r>
      <w:r w:rsidR="001A66E4">
        <w:rPr>
          <w:rFonts w:hint="cs"/>
          <w:rtl/>
        </w:rPr>
        <w:t>י</w:t>
      </w:r>
      <w:r w:rsidRPr="00A35616">
        <w:rPr>
          <w:rtl/>
        </w:rPr>
        <w:t xml:space="preserve">שה אינה יכולה לשאת גבר נוסף (לא לפי דין תורה ולא לפי הדין </w:t>
      </w:r>
      <w:proofErr w:type="spellStart"/>
      <w:r w:rsidRPr="00A35616">
        <w:rPr>
          <w:rtl/>
        </w:rPr>
        <w:t>השרעי</w:t>
      </w:r>
      <w:proofErr w:type="spellEnd"/>
      <w:r w:rsidRPr="00A35616">
        <w:rPr>
          <w:rtl/>
        </w:rPr>
        <w:t>)</w:t>
      </w:r>
      <w:r w:rsidR="001A66E4">
        <w:rPr>
          <w:rFonts w:hint="cs"/>
          <w:rtl/>
        </w:rPr>
        <w:t>,</w:t>
      </w:r>
      <w:r w:rsidRPr="00A35616">
        <w:rPr>
          <w:rtl/>
        </w:rPr>
        <w:t xml:space="preserve"> כך </w:t>
      </w:r>
      <w:r w:rsidR="001A66E4">
        <w:rPr>
          <w:rFonts w:hint="cs"/>
          <w:rtl/>
        </w:rPr>
        <w:t>יאסור</w:t>
      </w:r>
      <w:r w:rsidR="001A66E4" w:rsidRPr="00A35616">
        <w:rPr>
          <w:rtl/>
        </w:rPr>
        <w:t xml:space="preserve"> </w:t>
      </w:r>
      <w:r w:rsidRPr="00A35616">
        <w:rPr>
          <w:rtl/>
        </w:rPr>
        <w:t>החוק על גבר לשאת א</w:t>
      </w:r>
      <w:r w:rsidR="00A35616">
        <w:rPr>
          <w:rFonts w:hint="cs"/>
          <w:rtl/>
        </w:rPr>
        <w:t>י</w:t>
      </w:r>
      <w:r w:rsidRPr="00A35616">
        <w:rPr>
          <w:rtl/>
        </w:rPr>
        <w:t>שה נוספת. יש לציין כי מעבר לפגיעה בזכ</w:t>
      </w:r>
      <w:r w:rsidR="005C2C72">
        <w:rPr>
          <w:rtl/>
        </w:rPr>
        <w:t>ויות נשים, נישואים פוליגמיים ה</w:t>
      </w:r>
      <w:r w:rsidRPr="00A35616">
        <w:rPr>
          <w:rtl/>
        </w:rPr>
        <w:t>ם מעצם טיבם בעלי השלכות רגשיות וכלכליות קשות עבור הא</w:t>
      </w:r>
      <w:r w:rsidR="009724E0" w:rsidRPr="00A35616">
        <w:rPr>
          <w:rFonts w:hint="eastAsia"/>
          <w:rtl/>
        </w:rPr>
        <w:t>י</w:t>
      </w:r>
      <w:r w:rsidRPr="00A35616">
        <w:rPr>
          <w:rtl/>
        </w:rPr>
        <w:t>שה והתלויים בה</w:t>
      </w:r>
      <w:r w:rsidR="001A66E4">
        <w:rPr>
          <w:rFonts w:hint="cs"/>
          <w:rtl/>
        </w:rPr>
        <w:t xml:space="preserve"> (</w:t>
      </w:r>
      <w:r w:rsidR="001A66E4">
        <w:rPr>
          <w:rtl/>
        </w:rPr>
        <w:t>מתוך המלצה כללית מס' 21 של הו</w:t>
      </w:r>
      <w:r w:rsidR="005C2C72">
        <w:rPr>
          <w:rFonts w:hint="cs"/>
          <w:rtl/>
        </w:rPr>
        <w:t>ו</w:t>
      </w:r>
      <w:r w:rsidR="001A66E4">
        <w:rPr>
          <w:rtl/>
        </w:rPr>
        <w:t>עדה למיגור אפליה נגד נשים מטעם האו"ם, משנת 1994</w:t>
      </w:r>
      <w:r w:rsidR="001A66E4">
        <w:rPr>
          <w:rFonts w:hint="cs"/>
          <w:rtl/>
        </w:rPr>
        <w:t>)</w:t>
      </w:r>
      <w:r w:rsidRPr="00A35616">
        <w:rPr>
          <w:rtl/>
        </w:rPr>
        <w:t>.</w:t>
      </w:r>
    </w:p>
    <w:p w14:paraId="0BE5CDD8" w14:textId="00DDDF90" w:rsidR="00173C47" w:rsidRPr="00866BC4" w:rsidRDefault="00173C47" w:rsidP="00866BC4">
      <w:pPr>
        <w:pStyle w:val="Hesber"/>
        <w:rPr>
          <w:color w:val="auto"/>
          <w:rtl/>
        </w:rPr>
      </w:pPr>
      <w:r w:rsidRPr="00866BC4">
        <w:rPr>
          <w:color w:val="auto"/>
          <w:rtl/>
        </w:rPr>
        <w:t>אלא ש</w:t>
      </w:r>
      <w:r w:rsidR="003E4A6E">
        <w:rPr>
          <w:rFonts w:hint="cs"/>
          <w:color w:val="auto"/>
          <w:rtl/>
        </w:rPr>
        <w:t>ה</w:t>
      </w:r>
      <w:r w:rsidR="003E4A6E">
        <w:rPr>
          <w:color w:val="auto"/>
          <w:rtl/>
        </w:rPr>
        <w:t>חוק</w:t>
      </w:r>
      <w:r w:rsidRPr="00866BC4">
        <w:rPr>
          <w:color w:val="auto"/>
          <w:rtl/>
        </w:rPr>
        <w:t xml:space="preserve"> קובע חריגים</w:t>
      </w:r>
      <w:r w:rsidR="005C2C72">
        <w:rPr>
          <w:color w:val="auto"/>
          <w:rtl/>
        </w:rPr>
        <w:t xml:space="preserve"> </w:t>
      </w:r>
      <w:r w:rsidR="005C2C72">
        <w:rPr>
          <w:rFonts w:hint="cs"/>
          <w:color w:val="auto"/>
          <w:rtl/>
        </w:rPr>
        <w:t>ל</w:t>
      </w:r>
      <w:r w:rsidRPr="00866BC4">
        <w:rPr>
          <w:color w:val="auto"/>
          <w:rtl/>
        </w:rPr>
        <w:t>איסור על ביגמיה, ומכפיף את עצמו לדין הדתי. סעיף 179 לחוק קובע כי כאשר חל על הנישואין דין תורה, לא</w:t>
      </w:r>
      <w:r w:rsidR="005C2C72">
        <w:rPr>
          <w:color w:val="auto"/>
          <w:rtl/>
        </w:rPr>
        <w:t xml:space="preserve"> יורשע אדם בפוליגמיה אם הנישואי</w:t>
      </w:r>
      <w:r w:rsidR="005C2C72">
        <w:rPr>
          <w:rFonts w:hint="cs"/>
          <w:color w:val="auto"/>
          <w:rtl/>
        </w:rPr>
        <w:t>ן</w:t>
      </w:r>
      <w:r w:rsidRPr="00866BC4">
        <w:rPr>
          <w:color w:val="auto"/>
          <w:rtl/>
        </w:rPr>
        <w:t xml:space="preserve"> </w:t>
      </w:r>
      <w:r w:rsidR="005C2C72">
        <w:rPr>
          <w:color w:val="auto"/>
          <w:rtl/>
        </w:rPr>
        <w:t>נערכו לאחר שניתן לו היתר נישואי</w:t>
      </w:r>
      <w:r w:rsidR="005C2C72">
        <w:rPr>
          <w:rFonts w:hint="cs"/>
          <w:color w:val="auto"/>
          <w:rtl/>
        </w:rPr>
        <w:t>ן</w:t>
      </w:r>
      <w:r w:rsidRPr="00866BC4">
        <w:rPr>
          <w:color w:val="auto"/>
          <w:rtl/>
        </w:rPr>
        <w:t xml:space="preserve"> על י</w:t>
      </w:r>
      <w:r w:rsidR="005C2C72">
        <w:rPr>
          <w:color w:val="auto"/>
          <w:rtl/>
        </w:rPr>
        <w:t>די בית הדין הרבני. ריבוי נישואי</w:t>
      </w:r>
      <w:r w:rsidR="005C2C72">
        <w:rPr>
          <w:rFonts w:hint="cs"/>
          <w:color w:val="auto"/>
          <w:rtl/>
        </w:rPr>
        <w:t>ן</w:t>
      </w:r>
      <w:r w:rsidRPr="00866BC4">
        <w:rPr>
          <w:color w:val="auto"/>
          <w:rtl/>
        </w:rPr>
        <w:t xml:space="preserve"> של לא-יהודים בישראל מותר על פי סעיף 180 לחוק בשני מק</w:t>
      </w:r>
      <w:r w:rsidR="005C2C72">
        <w:rPr>
          <w:color w:val="auto"/>
          <w:rtl/>
        </w:rPr>
        <w:t>רים בלבד: כאשר בן הזוג מהנישואי</w:t>
      </w:r>
      <w:r w:rsidR="005C2C72">
        <w:rPr>
          <w:rFonts w:hint="cs"/>
          <w:color w:val="auto"/>
          <w:rtl/>
        </w:rPr>
        <w:t>ן</w:t>
      </w:r>
      <w:r w:rsidRPr="00866BC4">
        <w:rPr>
          <w:color w:val="auto"/>
          <w:rtl/>
        </w:rPr>
        <w:t xml:space="preserve"> הקודמים אינו מסוגל, מחמת</w:t>
      </w:r>
      <w:r w:rsidR="005C2C72">
        <w:rPr>
          <w:color w:val="auto"/>
          <w:rtl/>
        </w:rPr>
        <w:t xml:space="preserve"> מחלת נפש להסכים להפקעת הנישואי</w:t>
      </w:r>
      <w:r w:rsidR="005C2C72">
        <w:rPr>
          <w:rFonts w:hint="cs"/>
          <w:color w:val="auto"/>
          <w:rtl/>
        </w:rPr>
        <w:t>ן</w:t>
      </w:r>
      <w:r w:rsidRPr="00866BC4">
        <w:rPr>
          <w:color w:val="auto"/>
          <w:rtl/>
        </w:rPr>
        <w:t xml:space="preserve">, או שבן הזוג נעדר בנסיבות המעוררות חשש סביר לחייו ולא נודעו עקבותיו לפחות שבע שנים.  </w:t>
      </w:r>
    </w:p>
    <w:p w14:paraId="0A1696A3" w14:textId="5AD64026" w:rsidR="00173C47" w:rsidRPr="00866BC4" w:rsidRDefault="00173C47" w:rsidP="00866BC4">
      <w:pPr>
        <w:pStyle w:val="Hesber"/>
        <w:rPr>
          <w:rtl/>
        </w:rPr>
      </w:pPr>
      <w:r w:rsidRPr="00866BC4">
        <w:rPr>
          <w:rtl/>
        </w:rPr>
        <w:t xml:space="preserve">הכפפת האיסור על ביגמיה לדין הדתי, מביאה לכך שהאיסור הפלילי מתרוקן מתוכן, וההכרעה בעניין עוברת לערכאה הדתית. הדברים נכונים במיוחד לעניין הדין החל על יהודים, שכן אין כל מגבלות בחוק על יכולתם של בתי הדין הרבניים </w:t>
      </w:r>
      <w:proofErr w:type="spellStart"/>
      <w:r w:rsidRPr="00866BC4">
        <w:rPr>
          <w:rtl/>
        </w:rPr>
        <w:t>ליתן</w:t>
      </w:r>
      <w:proofErr w:type="spellEnd"/>
      <w:r w:rsidRPr="00866BC4">
        <w:rPr>
          <w:rtl/>
        </w:rPr>
        <w:t xml:space="preserve"> היתר, ועל פניו הם יכולים </w:t>
      </w:r>
      <w:proofErr w:type="spellStart"/>
      <w:r w:rsidRPr="00866BC4">
        <w:rPr>
          <w:rtl/>
        </w:rPr>
        <w:t>ליתן</w:t>
      </w:r>
      <w:proofErr w:type="spellEnd"/>
      <w:r w:rsidRPr="00866BC4">
        <w:rPr>
          <w:rtl/>
        </w:rPr>
        <w:t xml:space="preserve"> היתר נישואין לא</w:t>
      </w:r>
      <w:r w:rsidR="001A66E4">
        <w:rPr>
          <w:rFonts w:hint="cs"/>
          <w:rtl/>
        </w:rPr>
        <w:t>י</w:t>
      </w:r>
      <w:r w:rsidRPr="00866BC4">
        <w:rPr>
          <w:rtl/>
        </w:rPr>
        <w:t xml:space="preserve">שה שניה מכל סיבה שהיא. התוצאה היא שהערכאות הדתיות (הן בתי הדין הרבניים והן בתי הדין </w:t>
      </w:r>
      <w:proofErr w:type="spellStart"/>
      <w:r w:rsidRPr="00866BC4">
        <w:rPr>
          <w:rtl/>
        </w:rPr>
        <w:t>השרעי</w:t>
      </w:r>
      <w:r w:rsidR="00A35616">
        <w:rPr>
          <w:rFonts w:hint="cs"/>
          <w:rtl/>
        </w:rPr>
        <w:t>י</w:t>
      </w:r>
      <w:r w:rsidRPr="00866BC4">
        <w:rPr>
          <w:rtl/>
        </w:rPr>
        <w:t>ם</w:t>
      </w:r>
      <w:proofErr w:type="spellEnd"/>
      <w:r w:rsidRPr="00866BC4">
        <w:rPr>
          <w:rtl/>
        </w:rPr>
        <w:t>) נותנות היתרים לנישואי א</w:t>
      </w:r>
      <w:r w:rsidR="009724E0" w:rsidRPr="00866BC4">
        <w:rPr>
          <w:rtl/>
        </w:rPr>
        <w:t>י</w:t>
      </w:r>
      <w:r w:rsidRPr="00866BC4">
        <w:rPr>
          <w:rtl/>
        </w:rPr>
        <w:t>שה שני</w:t>
      </w:r>
      <w:r w:rsidR="003E4A6E">
        <w:rPr>
          <w:rFonts w:hint="cs"/>
          <w:rtl/>
        </w:rPr>
        <w:t>י</w:t>
      </w:r>
      <w:r w:rsidRPr="00866BC4">
        <w:rPr>
          <w:rtl/>
        </w:rPr>
        <w:t>ה, ובכך מאפשרת המדינה ביגמיה בחסות החוק.</w:t>
      </w:r>
    </w:p>
    <w:p w14:paraId="1F9DA36A" w14:textId="4FD081C6" w:rsidR="00173C47" w:rsidRPr="00866BC4" w:rsidRDefault="00173C47" w:rsidP="00866BC4">
      <w:pPr>
        <w:pStyle w:val="Hesber"/>
        <w:rPr>
          <w:rtl/>
        </w:rPr>
      </w:pPr>
      <w:r w:rsidRPr="00866BC4">
        <w:rPr>
          <w:rtl/>
        </w:rPr>
        <w:t xml:space="preserve">מטרתה </w:t>
      </w:r>
      <w:r w:rsidR="00D87002">
        <w:rPr>
          <w:rFonts w:hint="cs"/>
          <w:rtl/>
        </w:rPr>
        <w:t xml:space="preserve">של הצעת החוק היא </w:t>
      </w:r>
      <w:r w:rsidRPr="00866BC4">
        <w:rPr>
          <w:rtl/>
        </w:rPr>
        <w:t>לצמצם את מתן ההיתרים לנישואי א</w:t>
      </w:r>
      <w:r w:rsidR="009724E0" w:rsidRPr="00866BC4">
        <w:rPr>
          <w:rtl/>
        </w:rPr>
        <w:t>י</w:t>
      </w:r>
      <w:r w:rsidRPr="00866BC4">
        <w:rPr>
          <w:rtl/>
        </w:rPr>
        <w:t>שה שני</w:t>
      </w:r>
      <w:r w:rsidR="003E4A6E">
        <w:rPr>
          <w:rFonts w:hint="cs"/>
          <w:rtl/>
        </w:rPr>
        <w:t>י</w:t>
      </w:r>
      <w:r w:rsidRPr="00866BC4">
        <w:rPr>
          <w:rtl/>
        </w:rPr>
        <w:t>ה, באמצעות</w:t>
      </w:r>
      <w:r w:rsidR="005C2C72">
        <w:rPr>
          <w:rtl/>
        </w:rPr>
        <w:t xml:space="preserve"> תיקון החריג לחוק החל על נישואי</w:t>
      </w:r>
      <w:r w:rsidR="005C2C72">
        <w:rPr>
          <w:rFonts w:hint="cs"/>
          <w:rtl/>
        </w:rPr>
        <w:t>ן</w:t>
      </w:r>
      <w:r w:rsidRPr="00866BC4">
        <w:rPr>
          <w:rtl/>
        </w:rPr>
        <w:t xml:space="preserve"> של יהודים. כאמור לעיל, סעיף 179 לחוק בנוסחו היום</w:t>
      </w:r>
      <w:r w:rsidR="009724E0" w:rsidRPr="00866BC4">
        <w:rPr>
          <w:rtl/>
        </w:rPr>
        <w:t>,</w:t>
      </w:r>
      <w:r w:rsidRPr="00866BC4">
        <w:rPr>
          <w:rtl/>
        </w:rPr>
        <w:t xml:space="preserve"> מאפשר לבתי הדין הרבניים </w:t>
      </w:r>
      <w:proofErr w:type="spellStart"/>
      <w:r w:rsidRPr="00866BC4">
        <w:rPr>
          <w:rtl/>
        </w:rPr>
        <w:t>ליתן</w:t>
      </w:r>
      <w:proofErr w:type="spellEnd"/>
      <w:r w:rsidRPr="00866BC4">
        <w:rPr>
          <w:rtl/>
        </w:rPr>
        <w:t xml:space="preserve"> היתר לנישואי א</w:t>
      </w:r>
      <w:r w:rsidR="009724E0" w:rsidRPr="00866BC4">
        <w:rPr>
          <w:rtl/>
        </w:rPr>
        <w:t>י</w:t>
      </w:r>
      <w:r w:rsidRPr="00866BC4">
        <w:rPr>
          <w:rtl/>
        </w:rPr>
        <w:t xml:space="preserve">שה שניה מכל סיבה שהיא. סעיף 180 לחוק, החל על שאר העדות בישראל, מגביל את מתן ההיתר למקרים ספציפיים, כמפורט לעיל. </w:t>
      </w:r>
      <w:r w:rsidR="003E4A6E">
        <w:rPr>
          <w:rFonts w:hint="cs"/>
          <w:rtl/>
        </w:rPr>
        <w:t xml:space="preserve">כמו כן, מטרתה של </w:t>
      </w:r>
      <w:r w:rsidR="003E4A6E">
        <w:rPr>
          <w:rtl/>
        </w:rPr>
        <w:t xml:space="preserve">הצעת חוק </w:t>
      </w:r>
      <w:r w:rsidR="003E4A6E">
        <w:rPr>
          <w:rFonts w:hint="cs"/>
          <w:rtl/>
        </w:rPr>
        <w:t>היא</w:t>
      </w:r>
      <w:r w:rsidRPr="00866BC4">
        <w:rPr>
          <w:rtl/>
        </w:rPr>
        <w:t xml:space="preserve"> להשוות בין מצבם של בני זוג יהודיים לבין מצבן של בני זוג הנמנים על שאר העדות הדתיות בישראל, באופן שגם במקרה בו בני הזוג יהודיים יהיה אפשר </w:t>
      </w:r>
      <w:proofErr w:type="spellStart"/>
      <w:r w:rsidRPr="00866BC4">
        <w:rPr>
          <w:rtl/>
        </w:rPr>
        <w:t>ליתן</w:t>
      </w:r>
      <w:proofErr w:type="spellEnd"/>
      <w:r w:rsidRPr="00866BC4">
        <w:rPr>
          <w:rtl/>
        </w:rPr>
        <w:t xml:space="preserve"> ה</w:t>
      </w:r>
      <w:r w:rsidR="005C2C72">
        <w:rPr>
          <w:rFonts w:hint="cs"/>
          <w:rtl/>
        </w:rPr>
        <w:t>י</w:t>
      </w:r>
      <w:r w:rsidRPr="00866BC4">
        <w:rPr>
          <w:rtl/>
        </w:rPr>
        <w:t>תר לנישואי א</w:t>
      </w:r>
      <w:r w:rsidR="00A35616">
        <w:rPr>
          <w:rFonts w:hint="cs"/>
          <w:rtl/>
        </w:rPr>
        <w:t>י</w:t>
      </w:r>
      <w:r w:rsidRPr="00866BC4">
        <w:rPr>
          <w:rtl/>
        </w:rPr>
        <w:t>שה נוספת רק במקרים המפורטים בסעיף 180 לחוק. לשם כך מתבקשת מחיקתו של סעיף 179 לחוק ותיקון סעיף 180 לחוק באופן שיחול על כל העדות הדתיות בישראל. תיקון כאמור, מעבר לכך שיצמצם את מתן הה</w:t>
      </w:r>
      <w:r w:rsidR="009724E0" w:rsidRPr="00866BC4">
        <w:rPr>
          <w:rtl/>
        </w:rPr>
        <w:t>י</w:t>
      </w:r>
      <w:r w:rsidRPr="00866BC4">
        <w:rPr>
          <w:rtl/>
        </w:rPr>
        <w:t>תרים לנישואי אישה נוספת ככל שמדובר בבני זוג יהודיים, יש בו גם כדי להחיל דין שווה על כל העדות הדתיות בישראל, ובכך ליצור אחידות בדין החל על תושבי ישראל.</w:t>
      </w:r>
    </w:p>
    <w:p w14:paraId="7D92D5D2" w14:textId="038577BD" w:rsidR="00173C47" w:rsidRPr="00866BC4" w:rsidRDefault="003E4A6E" w:rsidP="00D87002">
      <w:pPr>
        <w:pStyle w:val="Hesber"/>
        <w:rPr>
          <w:rtl/>
        </w:rPr>
      </w:pPr>
      <w:r>
        <w:rPr>
          <w:rtl/>
        </w:rPr>
        <w:t>בנוסף</w:t>
      </w:r>
      <w:r>
        <w:rPr>
          <w:rFonts w:hint="cs"/>
          <w:rtl/>
        </w:rPr>
        <w:t xml:space="preserve">, </w:t>
      </w:r>
      <w:r w:rsidR="00173C47" w:rsidRPr="00866BC4">
        <w:rPr>
          <w:rtl/>
        </w:rPr>
        <w:t>מתבקש תיקונו של סעיף 182 לחוק. בהתאם לסעיף 182 לחוק מי שמסדר נישוא</w:t>
      </w:r>
      <w:r>
        <w:rPr>
          <w:rtl/>
        </w:rPr>
        <w:t>ין בידיעה שהם אסורים לפי דין</w:t>
      </w:r>
      <w:r w:rsidR="00D87002">
        <w:rPr>
          <w:rFonts w:hint="cs"/>
          <w:rtl/>
        </w:rPr>
        <w:t xml:space="preserve"> </w:t>
      </w:r>
      <w:r w:rsidR="00D87002">
        <w:rPr>
          <w:rFonts w:hint="eastAsia"/>
          <w:rtl/>
        </w:rPr>
        <w:t>–</w:t>
      </w:r>
      <w:r w:rsidR="00D87002">
        <w:rPr>
          <w:rFonts w:hint="cs"/>
          <w:rtl/>
        </w:rPr>
        <w:t xml:space="preserve"> </w:t>
      </w:r>
      <w:r w:rsidR="00173C47" w:rsidRPr="00866BC4">
        <w:rPr>
          <w:rtl/>
        </w:rPr>
        <w:t>דינו מאסר ש</w:t>
      </w:r>
      <w:r>
        <w:rPr>
          <w:rFonts w:hint="cs"/>
          <w:rtl/>
        </w:rPr>
        <w:t>י</w:t>
      </w:r>
      <w:r w:rsidR="00173C47" w:rsidRPr="00866BC4">
        <w:rPr>
          <w:rtl/>
        </w:rPr>
        <w:t xml:space="preserve">שה חודשים. התיקון </w:t>
      </w:r>
      <w:r>
        <w:rPr>
          <w:rFonts w:hint="cs"/>
          <w:rtl/>
        </w:rPr>
        <w:t xml:space="preserve">המוצע </w:t>
      </w:r>
      <w:r w:rsidR="00173C47" w:rsidRPr="00866BC4">
        <w:rPr>
          <w:rtl/>
        </w:rPr>
        <w:t>מבקש להחיל סעיף זה גם על מי שנותן היתר לנישואין בניגוד לקבוע בחוק. נכון להיום פועלים בישראל בתי דין דתיים פרטיים (בתי דין שאינם פועלים בחסות המדינה) אשר נותנים היתרים לשאת א</w:t>
      </w:r>
      <w:r w:rsidR="009724E0" w:rsidRPr="00866BC4">
        <w:rPr>
          <w:rtl/>
        </w:rPr>
        <w:t>י</w:t>
      </w:r>
      <w:r w:rsidR="00173C47" w:rsidRPr="00866BC4">
        <w:rPr>
          <w:rtl/>
        </w:rPr>
        <w:t>שה נוספת. מתן היתרים אלה אינו מדווח ל</w:t>
      </w:r>
      <w:r w:rsidR="005C2C72">
        <w:rPr>
          <w:rtl/>
        </w:rPr>
        <w:t>גורמים מטעם המדינה, ואף הנישואי</w:t>
      </w:r>
      <w:r w:rsidR="005C2C72">
        <w:rPr>
          <w:rFonts w:hint="cs"/>
          <w:rtl/>
        </w:rPr>
        <w:t>ן</w:t>
      </w:r>
      <w:r w:rsidR="00173C47" w:rsidRPr="00866BC4">
        <w:rPr>
          <w:rtl/>
        </w:rPr>
        <w:t xml:space="preserve"> אינם מדווחים בד</w:t>
      </w:r>
      <w:r w:rsidR="005C2C72">
        <w:rPr>
          <w:rtl/>
        </w:rPr>
        <w:t xml:space="preserve">רך כלל לרשויות. מטרת התיקון </w:t>
      </w:r>
      <w:r>
        <w:rPr>
          <w:rFonts w:hint="cs"/>
          <w:rtl/>
        </w:rPr>
        <w:t xml:space="preserve">המוצע </w:t>
      </w:r>
      <w:r w:rsidR="005C2C72">
        <w:rPr>
          <w:rtl/>
        </w:rPr>
        <w:t>הי</w:t>
      </w:r>
      <w:r w:rsidR="005C2C72">
        <w:rPr>
          <w:rFonts w:hint="cs"/>
          <w:rtl/>
        </w:rPr>
        <w:t>א</w:t>
      </w:r>
      <w:r w:rsidR="00173C47" w:rsidRPr="00866BC4">
        <w:rPr>
          <w:rtl/>
        </w:rPr>
        <w:t xml:space="preserve"> להרתיע דיינים המכהנים בבתי דין פרטיים </w:t>
      </w:r>
      <w:proofErr w:type="spellStart"/>
      <w:r w:rsidR="00173C47" w:rsidRPr="00866BC4">
        <w:rPr>
          <w:rtl/>
        </w:rPr>
        <w:t>מליתן</w:t>
      </w:r>
      <w:proofErr w:type="spellEnd"/>
      <w:r w:rsidR="00173C47" w:rsidRPr="00866BC4">
        <w:rPr>
          <w:rtl/>
        </w:rPr>
        <w:t xml:space="preserve"> היתרים כאלה שכן יהיו חשופים להגשת כתב אישום ולמאסר.</w:t>
      </w:r>
    </w:p>
    <w:p w14:paraId="43111473" w14:textId="54EC4B5F" w:rsidR="00173C47" w:rsidRPr="00A35616" w:rsidRDefault="00173C47" w:rsidP="00866BC4">
      <w:pPr>
        <w:pStyle w:val="Hesber"/>
        <w:rPr>
          <w:rtl/>
        </w:rPr>
      </w:pPr>
      <w:r w:rsidRPr="00866BC4">
        <w:rPr>
          <w:rtl/>
        </w:rPr>
        <w:t>הצעת החוק נכתבה בסיוע המרכז לקידום מעמד האישה על</w:t>
      </w:r>
      <w:r w:rsidR="00381CAF">
        <w:rPr>
          <w:rFonts w:hint="cs"/>
          <w:rtl/>
        </w:rPr>
        <w:t xml:space="preserve"> </w:t>
      </w:r>
      <w:r w:rsidRPr="00866BC4">
        <w:rPr>
          <w:rtl/>
        </w:rPr>
        <w:t>שם רות ועמנואל רקמן באוניברסיטת בר אילן.</w:t>
      </w:r>
    </w:p>
    <w:p w14:paraId="5CB92478" w14:textId="77777777" w:rsidR="003E4A6E" w:rsidRPr="00D73212" w:rsidRDefault="003E4A6E" w:rsidP="003E4A6E">
      <w:pPr>
        <w:pStyle w:val="Hesber"/>
        <w:rPr>
          <w:color w:val="auto"/>
          <w:rtl/>
          <w:lang w:eastAsia="en-US"/>
        </w:rPr>
      </w:pPr>
      <w:r w:rsidRPr="00D73212">
        <w:rPr>
          <w:color w:val="auto"/>
          <w:rtl/>
          <w:lang w:eastAsia="en-US"/>
        </w:rPr>
        <w:t>---------------------------------</w:t>
      </w:r>
    </w:p>
    <w:p w14:paraId="45B90A54" w14:textId="77777777" w:rsidR="003E4A6E" w:rsidRPr="00D73212" w:rsidRDefault="003E4A6E" w:rsidP="003E4A6E">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66CE0038" w14:textId="77777777" w:rsidR="003E4A6E" w:rsidRPr="00D73212" w:rsidRDefault="003E4A6E" w:rsidP="003E4A6E">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6E0F22E9" w14:textId="1D3859BC" w:rsidR="00173C47" w:rsidRPr="0022704F" w:rsidRDefault="003E4A6E" w:rsidP="003E4A6E">
      <w:pPr>
        <w:pStyle w:val="Hesber"/>
        <w:rPr>
          <w:rtl/>
        </w:rPr>
      </w:pPr>
      <w:r>
        <w:rPr>
          <w:rFonts w:hint="cs"/>
          <w:color w:val="auto"/>
          <w:rtl/>
          <w:lang w:eastAsia="en-US"/>
        </w:rPr>
        <w:lastRenderedPageBreak/>
        <w:t>י' בשבט</w:t>
      </w:r>
      <w:r w:rsidRPr="00D73212">
        <w:rPr>
          <w:color w:val="auto"/>
          <w:rtl/>
          <w:lang w:eastAsia="en-US"/>
        </w:rPr>
        <w:t xml:space="preserve"> </w:t>
      </w:r>
      <w:proofErr w:type="spellStart"/>
      <w:r w:rsidRPr="00D73212">
        <w:rPr>
          <w:rFonts w:hint="cs"/>
          <w:color w:val="auto"/>
          <w:rtl/>
          <w:lang w:eastAsia="en-US"/>
        </w:rPr>
        <w:t>התשע</w:t>
      </w:r>
      <w:r w:rsidRPr="00D73212">
        <w:rPr>
          <w:color w:val="auto"/>
          <w:rtl/>
          <w:lang w:eastAsia="en-US"/>
        </w:rPr>
        <w:t>"</w:t>
      </w:r>
      <w:r>
        <w:rPr>
          <w:rFonts w:hint="cs"/>
          <w:color w:val="auto"/>
          <w:rtl/>
          <w:lang w:eastAsia="en-US"/>
        </w:rPr>
        <w:t>ז</w:t>
      </w:r>
      <w:proofErr w:type="spellEnd"/>
      <w:r w:rsidRPr="00D73212">
        <w:rPr>
          <w:color w:val="auto"/>
          <w:rtl/>
          <w:lang w:eastAsia="en-US"/>
        </w:rPr>
        <w:t xml:space="preserve"> – </w:t>
      </w:r>
      <w:r>
        <w:rPr>
          <w:rFonts w:hint="cs"/>
          <w:color w:val="auto"/>
          <w:rtl/>
          <w:lang w:eastAsia="en-US"/>
        </w:rPr>
        <w:t>6.2</w:t>
      </w:r>
      <w:r w:rsidRPr="00D73212">
        <w:rPr>
          <w:color w:val="auto"/>
          <w:rtl/>
          <w:lang w:eastAsia="en-US"/>
        </w:rPr>
        <w:t>.</w:t>
      </w:r>
      <w:r>
        <w:rPr>
          <w:rFonts w:hint="cs"/>
          <w:color w:val="auto"/>
          <w:rtl/>
          <w:lang w:eastAsia="en-US"/>
        </w:rPr>
        <w:t>17</w:t>
      </w:r>
    </w:p>
    <w:sectPr w:rsidR="00173C47" w:rsidRPr="0022704F" w:rsidSect="003E4A6E">
      <w:footerReference w:type="even" r:id="rId12"/>
      <w:footerReference w:type="default" r:id="rId13"/>
      <w:pgSz w:w="11907" w:h="16840" w:code="9"/>
      <w:pgMar w:top="851"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80D3A" w14:textId="77777777" w:rsidR="000A1080" w:rsidRDefault="000A1080">
      <w:r>
        <w:separator/>
      </w:r>
    </w:p>
  </w:endnote>
  <w:endnote w:type="continuationSeparator" w:id="0">
    <w:p w14:paraId="7A4C91C3" w14:textId="77777777" w:rsidR="000A1080" w:rsidRDefault="000A1080">
      <w:r>
        <w:continuationSeparator/>
      </w:r>
    </w:p>
  </w:endnote>
  <w:endnote w:type="continuationNotice" w:id="1">
    <w:p w14:paraId="784B59A8" w14:textId="77777777" w:rsidR="000A1080" w:rsidRDefault="000A108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Arial Narrow"/>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Arial Unicode MS">
    <w:altName w:val="Tahoma"/>
    <w:panose1 w:val="020B0604020202020204"/>
    <w:charset w:val="80"/>
    <w:family w:val="swiss"/>
    <w:pitch w:val="variable"/>
    <w:sig w:usb0="F7FFAFFF" w:usb1="E9DFFFFF" w:usb2="0000003F" w:usb3="00000000" w:csb0="003F01FF" w:csb1="00000000"/>
  </w:font>
  <w:font w:name="David">
    <w:altName w:val="Times New Roman"/>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61D5" w14:textId="77777777" w:rsidR="002C3041" w:rsidRDefault="002C3041" w:rsidP="001207F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F6961D6" w14:textId="77777777" w:rsidR="002C3041" w:rsidRDefault="002C3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61D7" w14:textId="77777777" w:rsidR="002C3041" w:rsidRDefault="002C3041" w:rsidP="001207F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055218">
      <w:rPr>
        <w:rStyle w:val="PageNumber"/>
        <w:rFonts w:cs="Times New Roman"/>
        <w:noProof/>
        <w:rtl/>
      </w:rPr>
      <w:t>3</w:t>
    </w:r>
    <w:r>
      <w:rPr>
        <w:rStyle w:val="PageNumber"/>
        <w:rtl/>
      </w:rPr>
      <w:fldChar w:fldCharType="end"/>
    </w:r>
  </w:p>
  <w:p w14:paraId="7F6961D8" w14:textId="77777777" w:rsidR="002C3041" w:rsidRDefault="002C3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A2AA5" w14:textId="77777777" w:rsidR="000A1080" w:rsidRDefault="000A1080">
      <w:r>
        <w:separator/>
      </w:r>
    </w:p>
  </w:footnote>
  <w:footnote w:type="continuationSeparator" w:id="0">
    <w:p w14:paraId="5E6873EB" w14:textId="77777777" w:rsidR="000A1080" w:rsidRDefault="000A1080">
      <w:r>
        <w:continuationSeparator/>
      </w:r>
    </w:p>
  </w:footnote>
  <w:footnote w:type="continuationNotice" w:id="1">
    <w:p w14:paraId="2B1C5D35" w14:textId="77777777" w:rsidR="000A1080" w:rsidRDefault="000A1080"/>
  </w:footnote>
  <w:footnote w:id="2">
    <w:p w14:paraId="01C07001" w14:textId="1F372A63" w:rsidR="00443C9A" w:rsidRDefault="00443C9A">
      <w:pPr>
        <w:pStyle w:val="FootnoteText"/>
      </w:pPr>
      <w:r>
        <w:rPr>
          <w:rStyle w:val="FootnoteReference"/>
        </w:rPr>
        <w:footnoteRef/>
      </w:r>
      <w:r>
        <w:rPr>
          <w:rtl/>
        </w:rPr>
        <w:t xml:space="preserve"> </w:t>
      </w:r>
      <w:r w:rsidR="00293466">
        <w:rPr>
          <w:rFonts w:hint="cs"/>
          <w:rtl/>
        </w:rPr>
        <w:t>ס"ח תשל"ז, עמ' 226.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55218"/>
    <w:rsid w:val="00063A3E"/>
    <w:rsid w:val="00072CAC"/>
    <w:rsid w:val="0007681A"/>
    <w:rsid w:val="000A1080"/>
    <w:rsid w:val="000A542E"/>
    <w:rsid w:val="00102B6B"/>
    <w:rsid w:val="001052D4"/>
    <w:rsid w:val="0010644B"/>
    <w:rsid w:val="001207F8"/>
    <w:rsid w:val="00121924"/>
    <w:rsid w:val="001279A8"/>
    <w:rsid w:val="0014195F"/>
    <w:rsid w:val="00152609"/>
    <w:rsid w:val="00153E1B"/>
    <w:rsid w:val="00157991"/>
    <w:rsid w:val="00173C47"/>
    <w:rsid w:val="001A0623"/>
    <w:rsid w:val="001A66E4"/>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836FA"/>
    <w:rsid w:val="00292712"/>
    <w:rsid w:val="00293466"/>
    <w:rsid w:val="002A487D"/>
    <w:rsid w:val="002C2E29"/>
    <w:rsid w:val="002C3041"/>
    <w:rsid w:val="002D1EE3"/>
    <w:rsid w:val="002F1D80"/>
    <w:rsid w:val="003232A2"/>
    <w:rsid w:val="00325C14"/>
    <w:rsid w:val="0036422C"/>
    <w:rsid w:val="003710F6"/>
    <w:rsid w:val="00381CAF"/>
    <w:rsid w:val="00386E88"/>
    <w:rsid w:val="00396585"/>
    <w:rsid w:val="003D6E38"/>
    <w:rsid w:val="003D74A0"/>
    <w:rsid w:val="003E4A6E"/>
    <w:rsid w:val="004033D8"/>
    <w:rsid w:val="004073F0"/>
    <w:rsid w:val="00412A7D"/>
    <w:rsid w:val="00416B4D"/>
    <w:rsid w:val="00417CFC"/>
    <w:rsid w:val="00443C9A"/>
    <w:rsid w:val="004A06DC"/>
    <w:rsid w:val="004B24ED"/>
    <w:rsid w:val="004B6625"/>
    <w:rsid w:val="004D2D82"/>
    <w:rsid w:val="004D3876"/>
    <w:rsid w:val="004E4552"/>
    <w:rsid w:val="004E6CDF"/>
    <w:rsid w:val="00553C9D"/>
    <w:rsid w:val="00562A66"/>
    <w:rsid w:val="005B064E"/>
    <w:rsid w:val="005C2C72"/>
    <w:rsid w:val="005D04A3"/>
    <w:rsid w:val="005D51AE"/>
    <w:rsid w:val="0062674B"/>
    <w:rsid w:val="006363B2"/>
    <w:rsid w:val="00644940"/>
    <w:rsid w:val="006757CF"/>
    <w:rsid w:val="006768FC"/>
    <w:rsid w:val="006818A9"/>
    <w:rsid w:val="006A2D81"/>
    <w:rsid w:val="006C1D0D"/>
    <w:rsid w:val="006D366F"/>
    <w:rsid w:val="0070601E"/>
    <w:rsid w:val="00712C72"/>
    <w:rsid w:val="00735FE9"/>
    <w:rsid w:val="00763CAA"/>
    <w:rsid w:val="00765F66"/>
    <w:rsid w:val="0078664F"/>
    <w:rsid w:val="007C3FA6"/>
    <w:rsid w:val="007D585A"/>
    <w:rsid w:val="007D5A12"/>
    <w:rsid w:val="007E59F9"/>
    <w:rsid w:val="00810BCD"/>
    <w:rsid w:val="00812C98"/>
    <w:rsid w:val="00814D92"/>
    <w:rsid w:val="0083181D"/>
    <w:rsid w:val="00843EB2"/>
    <w:rsid w:val="00865572"/>
    <w:rsid w:val="00866BC4"/>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724E0"/>
    <w:rsid w:val="00982412"/>
    <w:rsid w:val="00983A8D"/>
    <w:rsid w:val="009A0DB8"/>
    <w:rsid w:val="009A7257"/>
    <w:rsid w:val="009D0C1E"/>
    <w:rsid w:val="009D6E0A"/>
    <w:rsid w:val="009E1E33"/>
    <w:rsid w:val="00A14672"/>
    <w:rsid w:val="00A26BD6"/>
    <w:rsid w:val="00A35616"/>
    <w:rsid w:val="00A443CF"/>
    <w:rsid w:val="00A6611D"/>
    <w:rsid w:val="00A82CB7"/>
    <w:rsid w:val="00A942C1"/>
    <w:rsid w:val="00AA2F03"/>
    <w:rsid w:val="00AC36F7"/>
    <w:rsid w:val="00AC63A4"/>
    <w:rsid w:val="00AD239E"/>
    <w:rsid w:val="00AF3BF6"/>
    <w:rsid w:val="00B10265"/>
    <w:rsid w:val="00B16A99"/>
    <w:rsid w:val="00B21211"/>
    <w:rsid w:val="00B35784"/>
    <w:rsid w:val="00B733A7"/>
    <w:rsid w:val="00B75C91"/>
    <w:rsid w:val="00B975AD"/>
    <w:rsid w:val="00BC45FB"/>
    <w:rsid w:val="00BF148D"/>
    <w:rsid w:val="00C23B1A"/>
    <w:rsid w:val="00C310EB"/>
    <w:rsid w:val="00C85215"/>
    <w:rsid w:val="00C9176A"/>
    <w:rsid w:val="00CF1AA2"/>
    <w:rsid w:val="00D17774"/>
    <w:rsid w:val="00D63620"/>
    <w:rsid w:val="00D8410D"/>
    <w:rsid w:val="00D867D7"/>
    <w:rsid w:val="00D87002"/>
    <w:rsid w:val="00DB7060"/>
    <w:rsid w:val="00DE3153"/>
    <w:rsid w:val="00E06736"/>
    <w:rsid w:val="00E13C27"/>
    <w:rsid w:val="00E26F55"/>
    <w:rsid w:val="00E33BBD"/>
    <w:rsid w:val="00E374F2"/>
    <w:rsid w:val="00E45103"/>
    <w:rsid w:val="00E55A60"/>
    <w:rsid w:val="00E62778"/>
    <w:rsid w:val="00E63D38"/>
    <w:rsid w:val="00E665B9"/>
    <w:rsid w:val="00EA01E6"/>
    <w:rsid w:val="00EA3DE8"/>
    <w:rsid w:val="00EA758F"/>
    <w:rsid w:val="00ED4A6F"/>
    <w:rsid w:val="00EF3A3A"/>
    <w:rsid w:val="00F4150E"/>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rmal"/>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Normal"/>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rmal"/>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Normal"/>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EndnoteText">
    <w:name w:val="endnote text"/>
    <w:basedOn w:val="Normal"/>
    <w:semiHidden/>
    <w:rsid w:val="00B975AD"/>
    <w:pPr>
      <w:ind w:left="227" w:hanging="227"/>
    </w:pPr>
    <w:rPr>
      <w:sz w:val="14"/>
      <w:szCs w:val="22"/>
    </w:rPr>
  </w:style>
  <w:style w:type="paragraph" w:customStyle="1" w:styleId="TableText">
    <w:name w:val="Table Text"/>
    <w:basedOn w:val="Normal"/>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Normal"/>
    <w:rsid w:val="00B975AD"/>
    <w:pPr>
      <w:snapToGrid w:val="0"/>
      <w:spacing w:before="0" w:line="360" w:lineRule="auto"/>
    </w:pPr>
    <w:rPr>
      <w:rFonts w:ascii="Arial" w:eastAsia="Arial Unicode MS" w:hAnsi="Arial" w:cs="David"/>
      <w:snapToGrid w:val="0"/>
      <w:spacing w:val="0"/>
      <w:sz w:val="20"/>
      <w:szCs w:val="26"/>
    </w:rPr>
  </w:style>
  <w:style w:type="paragraph" w:styleId="FootnoteText">
    <w:name w:val="footnote text"/>
    <w:basedOn w:val="Normal"/>
    <w:link w:val="FootnoteTextChar"/>
    <w:autoRedefine/>
    <w:uiPriority w:val="99"/>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FootnoteReference">
    <w:name w:val="footnote reference"/>
    <w:basedOn w:val="DefaultParagraphFont"/>
    <w:uiPriority w:val="99"/>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EndnoteReference">
    <w:name w:val="endnote reference"/>
    <w:basedOn w:val="DefaultParagraphFont"/>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Header">
    <w:name w:val="header"/>
    <w:basedOn w:val="Normal"/>
    <w:rsid w:val="00B975AD"/>
    <w:pPr>
      <w:tabs>
        <w:tab w:val="center" w:pos="4153"/>
        <w:tab w:val="right" w:pos="8306"/>
      </w:tabs>
    </w:pPr>
  </w:style>
  <w:style w:type="paragraph" w:styleId="Footer">
    <w:name w:val="footer"/>
    <w:basedOn w:val="Normal"/>
    <w:rsid w:val="00B975AD"/>
    <w:pPr>
      <w:tabs>
        <w:tab w:val="center" w:pos="4153"/>
        <w:tab w:val="right" w:pos="8306"/>
      </w:tabs>
    </w:pPr>
  </w:style>
  <w:style w:type="paragraph" w:customStyle="1" w:styleId="HeadDivreiHesber">
    <w:name w:val="Head DivreiHesber"/>
    <w:basedOn w:val="Normal"/>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Normal"/>
    <w:rsid w:val="00B975AD"/>
    <w:pPr>
      <w:snapToGrid w:val="0"/>
      <w:spacing w:before="0" w:line="360" w:lineRule="auto"/>
      <w:jc w:val="left"/>
    </w:pPr>
    <w:rPr>
      <w:rFonts w:ascii="Arial" w:eastAsia="Arial Unicode MS" w:hAnsi="Arial" w:cs="David"/>
      <w:snapToGrid w:val="0"/>
      <w:spacing w:val="0"/>
      <w:sz w:val="20"/>
      <w:szCs w:val="26"/>
    </w:rPr>
  </w:style>
  <w:style w:type="paragraph" w:styleId="Title">
    <w:name w:val="Title"/>
    <w:basedOn w:val="Normal"/>
    <w:qFormat/>
    <w:rsid w:val="00943386"/>
    <w:pPr>
      <w:jc w:val="center"/>
    </w:pPr>
    <w:rPr>
      <w:rFonts w:cs="David"/>
      <w:b/>
      <w:bCs/>
      <w:sz w:val="28"/>
      <w:szCs w:val="28"/>
      <w:u w:val="single"/>
    </w:rPr>
  </w:style>
  <w:style w:type="character" w:styleId="PageNumber">
    <w:name w:val="page number"/>
    <w:basedOn w:val="DefaultParagraphFont"/>
    <w:rsid w:val="00B975AD"/>
  </w:style>
  <w:style w:type="paragraph" w:customStyle="1" w:styleId="David">
    <w:name w:val="רגיל + (עברית ושפות אחרות) David"/>
    <w:aliases w:val="‏13 נק',מודגש,אחרי:  6 נק'"/>
    <w:basedOn w:val="Normal"/>
    <w:rsid w:val="001207F8"/>
    <w:pPr>
      <w:ind w:firstLine="0"/>
      <w:jc w:val="left"/>
    </w:pPr>
    <w:rPr>
      <w:rFonts w:cs="David"/>
      <w:sz w:val="26"/>
      <w:szCs w:val="26"/>
    </w:rPr>
  </w:style>
  <w:style w:type="paragraph" w:styleId="BalloonText">
    <w:name w:val="Balloon Text"/>
    <w:basedOn w:val="Normal"/>
    <w:link w:val="BalloonTextChar"/>
    <w:semiHidden/>
    <w:unhideWhenUsed/>
    <w:rsid w:val="00325C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25C14"/>
    <w:rPr>
      <w:rFonts w:ascii="Tahoma" w:hAnsi="Tahoma" w:cs="Tahoma"/>
      <w:color w:val="000000"/>
      <w:spacing w:val="1"/>
      <w:sz w:val="16"/>
      <w:szCs w:val="16"/>
      <w:lang w:eastAsia="ja-JP"/>
    </w:rPr>
  </w:style>
  <w:style w:type="character" w:customStyle="1" w:styleId="FootnoteTextChar">
    <w:name w:val="Footnote Text Char"/>
    <w:basedOn w:val="DefaultParagraphFont"/>
    <w:link w:val="FootnoteText"/>
    <w:uiPriority w:val="99"/>
    <w:semiHidden/>
    <w:locked/>
    <w:rsid w:val="00173C47"/>
    <w:rPr>
      <w:rFonts w:ascii="Arial" w:eastAsia="Arial Unicode MS" w:hAnsi="Arial" w:cs="David"/>
      <w:snapToGrid w:val="0"/>
      <w:color w:val="000000"/>
      <w:sz w:val="1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rmal"/>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Normal"/>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rmal"/>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Normal"/>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EndnoteText">
    <w:name w:val="endnote text"/>
    <w:basedOn w:val="Normal"/>
    <w:semiHidden/>
    <w:rsid w:val="00B975AD"/>
    <w:pPr>
      <w:ind w:left="227" w:hanging="227"/>
    </w:pPr>
    <w:rPr>
      <w:sz w:val="14"/>
      <w:szCs w:val="22"/>
    </w:rPr>
  </w:style>
  <w:style w:type="paragraph" w:customStyle="1" w:styleId="TableText">
    <w:name w:val="Table Text"/>
    <w:basedOn w:val="Normal"/>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Normal"/>
    <w:rsid w:val="00B975AD"/>
    <w:pPr>
      <w:snapToGrid w:val="0"/>
      <w:spacing w:before="0" w:line="360" w:lineRule="auto"/>
    </w:pPr>
    <w:rPr>
      <w:rFonts w:ascii="Arial" w:eastAsia="Arial Unicode MS" w:hAnsi="Arial" w:cs="David"/>
      <w:snapToGrid w:val="0"/>
      <w:spacing w:val="0"/>
      <w:sz w:val="20"/>
      <w:szCs w:val="26"/>
    </w:rPr>
  </w:style>
  <w:style w:type="paragraph" w:styleId="FootnoteText">
    <w:name w:val="footnote text"/>
    <w:basedOn w:val="Normal"/>
    <w:link w:val="FootnoteTextChar"/>
    <w:autoRedefine/>
    <w:uiPriority w:val="99"/>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FootnoteReference">
    <w:name w:val="footnote reference"/>
    <w:basedOn w:val="DefaultParagraphFont"/>
    <w:uiPriority w:val="99"/>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EndnoteReference">
    <w:name w:val="endnote reference"/>
    <w:basedOn w:val="DefaultParagraphFont"/>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Header">
    <w:name w:val="header"/>
    <w:basedOn w:val="Normal"/>
    <w:rsid w:val="00B975AD"/>
    <w:pPr>
      <w:tabs>
        <w:tab w:val="center" w:pos="4153"/>
        <w:tab w:val="right" w:pos="8306"/>
      </w:tabs>
    </w:pPr>
  </w:style>
  <w:style w:type="paragraph" w:styleId="Footer">
    <w:name w:val="footer"/>
    <w:basedOn w:val="Normal"/>
    <w:rsid w:val="00B975AD"/>
    <w:pPr>
      <w:tabs>
        <w:tab w:val="center" w:pos="4153"/>
        <w:tab w:val="right" w:pos="8306"/>
      </w:tabs>
    </w:pPr>
  </w:style>
  <w:style w:type="paragraph" w:customStyle="1" w:styleId="HeadDivreiHesber">
    <w:name w:val="Head DivreiHesber"/>
    <w:basedOn w:val="Normal"/>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Normal"/>
    <w:rsid w:val="00B975AD"/>
    <w:pPr>
      <w:snapToGrid w:val="0"/>
      <w:spacing w:before="0" w:line="360" w:lineRule="auto"/>
      <w:jc w:val="left"/>
    </w:pPr>
    <w:rPr>
      <w:rFonts w:ascii="Arial" w:eastAsia="Arial Unicode MS" w:hAnsi="Arial" w:cs="David"/>
      <w:snapToGrid w:val="0"/>
      <w:spacing w:val="0"/>
      <w:sz w:val="20"/>
      <w:szCs w:val="26"/>
    </w:rPr>
  </w:style>
  <w:style w:type="paragraph" w:styleId="Title">
    <w:name w:val="Title"/>
    <w:basedOn w:val="Normal"/>
    <w:qFormat/>
    <w:rsid w:val="00943386"/>
    <w:pPr>
      <w:jc w:val="center"/>
    </w:pPr>
    <w:rPr>
      <w:rFonts w:cs="David"/>
      <w:b/>
      <w:bCs/>
      <w:sz w:val="28"/>
      <w:szCs w:val="28"/>
      <w:u w:val="single"/>
    </w:rPr>
  </w:style>
  <w:style w:type="character" w:styleId="PageNumber">
    <w:name w:val="page number"/>
    <w:basedOn w:val="DefaultParagraphFont"/>
    <w:rsid w:val="00B975AD"/>
  </w:style>
  <w:style w:type="paragraph" w:customStyle="1" w:styleId="David">
    <w:name w:val="רגיל + (עברית ושפות אחרות) David"/>
    <w:aliases w:val="‏13 נק',מודגש,אחרי:  6 נק'"/>
    <w:basedOn w:val="Normal"/>
    <w:rsid w:val="001207F8"/>
    <w:pPr>
      <w:ind w:firstLine="0"/>
      <w:jc w:val="left"/>
    </w:pPr>
    <w:rPr>
      <w:rFonts w:cs="David"/>
      <w:sz w:val="26"/>
      <w:szCs w:val="26"/>
    </w:rPr>
  </w:style>
  <w:style w:type="paragraph" w:styleId="BalloonText">
    <w:name w:val="Balloon Text"/>
    <w:basedOn w:val="Normal"/>
    <w:link w:val="BalloonTextChar"/>
    <w:semiHidden/>
    <w:unhideWhenUsed/>
    <w:rsid w:val="00325C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25C14"/>
    <w:rPr>
      <w:rFonts w:ascii="Tahoma" w:hAnsi="Tahoma" w:cs="Tahoma"/>
      <w:color w:val="000000"/>
      <w:spacing w:val="1"/>
      <w:sz w:val="16"/>
      <w:szCs w:val="16"/>
      <w:lang w:eastAsia="ja-JP"/>
    </w:rPr>
  </w:style>
  <w:style w:type="character" w:customStyle="1" w:styleId="FootnoteTextChar">
    <w:name w:val="Footnote Text Char"/>
    <w:basedOn w:val="DefaultParagraphFont"/>
    <w:link w:val="FootnoteText"/>
    <w:uiPriority w:val="99"/>
    <w:semiHidden/>
    <w:locked/>
    <w:rsid w:val="00173C47"/>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C5052-5046-40C8-8180-3F39B7322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6C6C96-5BF7-4CE4-AB96-7F15D68E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רשומות</vt:lpstr>
      <vt:lpstr>רשומות</vt:lpstr>
    </vt:vector>
  </TitlesOfParts>
  <Company>Knesset</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Keren Horowitz</cp:lastModifiedBy>
  <cp:revision>2</cp:revision>
  <cp:lastPrinted>2017-02-02T11:29:00Z</cp:lastPrinted>
  <dcterms:created xsi:type="dcterms:W3CDTF">2017-02-07T07:46:00Z</dcterms:created>
  <dcterms:modified xsi:type="dcterms:W3CDTF">2017-02-07T07:46:00Z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2011630</vt:r8>
  </property>
</Properties>
</file>