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bookmarkStart w:id="0" w:name="_GoBack"/>
      <w:bookmarkEnd w:id="0"/>
      <w:r w:rsidRPr="0000131B">
        <w:rPr>
          <w:rFonts w:hint="cs"/>
          <w:b w:val="0"/>
          <w:bCs w:val="0"/>
          <w:szCs w:val="20"/>
          <w:rtl/>
        </w:rPr>
        <w:t xml:space="preserve">מספר פנימי: </w:t>
      </w:r>
      <w:bookmarkStart w:id="1" w:name="LGS_Internal_ID"/>
      <w:r>
        <w:rPr>
          <w:rFonts w:hint="cs"/>
          <w:b w:val="0"/>
          <w:bCs w:val="0"/>
          <w:szCs w:val="20"/>
          <w:rtl/>
        </w:rPr>
        <w:t>2014407</w:t>
      </w:r>
      <w:bookmarkEnd w:id="1"/>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2" w:name="LGS_Knesset_Num"/>
      <w:r>
        <w:rPr>
          <w:rFonts w:hint="cs"/>
          <w:sz w:val="28"/>
          <w:szCs w:val="28"/>
          <w:rtl/>
        </w:rPr>
        <w:t>העשרים</w:t>
      </w:r>
      <w:bookmarkEnd w:id="2"/>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3" w:name="LGS_Initiators_List"/>
      <w:r>
        <w:rPr>
          <w:b/>
          <w:bCs/>
          <w:rtl/>
        </w:rPr>
        <w:t>יוזמים:      חברי הכנסת</w:t>
      </w:r>
      <w:bookmarkEnd w:id="3"/>
      <w:r w:rsidR="00B35784" w:rsidRPr="00F67051">
        <w:rPr>
          <w:b/>
          <w:bCs/>
        </w:rPr>
        <w:tab/>
      </w:r>
      <w:bookmarkStart w:id="4" w:name="LGS_PM_Names"/>
      <w:r>
        <w:rPr>
          <w:rFonts w:hint="cs"/>
          <w:b/>
          <w:bCs/>
          <w:rtl/>
        </w:rPr>
        <w:t>עליזה לביא</w:t>
      </w:r>
      <w:r>
        <w:br/>
      </w:r>
      <w:r>
        <w:rPr>
          <w:rFonts w:hint="cs"/>
          <w:b/>
          <w:bCs/>
          <w:rtl/>
        </w:rPr>
        <w:t xml:space="preserve"> </w:t>
      </w:r>
      <w:r>
        <w:tab/>
      </w:r>
      <w:r>
        <w:tab/>
      </w:r>
      <w:r>
        <w:tab/>
      </w:r>
      <w:r>
        <w:tab/>
      </w:r>
      <w:r>
        <w:rPr>
          <w:rFonts w:hint="cs"/>
          <w:b/>
          <w:bCs/>
          <w:rtl/>
        </w:rPr>
        <w:t>דוד ביטן</w:t>
      </w:r>
      <w:r>
        <w:br/>
      </w:r>
      <w:r>
        <w:rPr>
          <w:rFonts w:hint="cs"/>
          <w:b/>
          <w:bCs/>
          <w:rtl/>
        </w:rPr>
        <w:t xml:space="preserve"> </w:t>
      </w:r>
      <w:r>
        <w:tab/>
      </w:r>
      <w:r>
        <w:tab/>
      </w:r>
      <w:r>
        <w:tab/>
      </w:r>
      <w:r>
        <w:tab/>
      </w:r>
      <w:r>
        <w:rPr>
          <w:rFonts w:hint="cs"/>
          <w:b/>
          <w:bCs/>
          <w:rtl/>
        </w:rPr>
        <w:t>יגאל גואטה</w:t>
      </w:r>
      <w:r>
        <w:br/>
      </w:r>
      <w:r>
        <w:rPr>
          <w:rFonts w:hint="cs"/>
          <w:b/>
          <w:bCs/>
          <w:rtl/>
        </w:rPr>
        <w:t xml:space="preserve"> </w:t>
      </w:r>
      <w:r>
        <w:tab/>
      </w:r>
      <w:r>
        <w:tab/>
      </w:r>
      <w:r>
        <w:tab/>
      </w:r>
      <w:r>
        <w:tab/>
      </w:r>
      <w:r>
        <w:rPr>
          <w:rFonts w:hint="cs"/>
          <w:b/>
          <w:bCs/>
          <w:rtl/>
        </w:rPr>
        <w:t>רויטל סויד</w:t>
      </w:r>
      <w:r>
        <w:br/>
      </w:r>
      <w:r>
        <w:rPr>
          <w:rFonts w:hint="cs"/>
          <w:b/>
          <w:bCs/>
          <w:rtl/>
        </w:rPr>
        <w:t xml:space="preserve"> </w:t>
      </w:r>
      <w:r>
        <w:tab/>
      </w:r>
      <w:r>
        <w:tab/>
      </w:r>
      <w:r>
        <w:tab/>
      </w:r>
      <w:r>
        <w:tab/>
      </w:r>
      <w:r>
        <w:rPr>
          <w:rFonts w:hint="cs"/>
          <w:b/>
          <w:bCs/>
          <w:rtl/>
        </w:rPr>
        <w:t>מנואל טרכטנברג</w:t>
      </w:r>
      <w:r>
        <w:br/>
      </w:r>
      <w:r>
        <w:rPr>
          <w:rFonts w:hint="cs"/>
          <w:b/>
          <w:bCs/>
          <w:rtl/>
        </w:rPr>
        <w:t xml:space="preserve"> </w:t>
      </w:r>
      <w:r>
        <w:tab/>
      </w:r>
      <w:r>
        <w:tab/>
      </w:r>
      <w:r>
        <w:tab/>
      </w:r>
      <w:r>
        <w:tab/>
      </w:r>
      <w:r>
        <w:rPr>
          <w:rFonts w:hint="cs"/>
          <w:b/>
          <w:bCs/>
          <w:rtl/>
        </w:rPr>
        <w:t xml:space="preserve">אברהם </w:t>
      </w:r>
      <w:proofErr w:type="spellStart"/>
      <w:r>
        <w:rPr>
          <w:rFonts w:hint="cs"/>
          <w:b/>
          <w:bCs/>
          <w:rtl/>
        </w:rPr>
        <w:t>דיכטר</w:t>
      </w:r>
      <w:proofErr w:type="spellEnd"/>
      <w:r>
        <w:br/>
      </w:r>
      <w:r>
        <w:rPr>
          <w:rFonts w:hint="cs"/>
          <w:b/>
          <w:bCs/>
          <w:rtl/>
        </w:rPr>
        <w:t xml:space="preserve"> </w:t>
      </w:r>
      <w:r>
        <w:tab/>
      </w:r>
      <w:r>
        <w:tab/>
      </w:r>
      <w:r>
        <w:tab/>
      </w:r>
      <w:r>
        <w:tab/>
      </w:r>
      <w:r>
        <w:rPr>
          <w:rFonts w:hint="cs"/>
          <w:b/>
          <w:bCs/>
          <w:rtl/>
        </w:rPr>
        <w:t>איילת נחמיאס ורבין</w:t>
      </w:r>
      <w:bookmarkEnd w:id="4"/>
    </w:p>
    <w:p w14:paraId="7F6961AA" w14:textId="39F9D96B" w:rsidR="00E13C27" w:rsidRPr="00CF1AA2" w:rsidRDefault="007D585A" w:rsidP="0036422C">
      <w:pPr>
        <w:pStyle w:val="David"/>
        <w:spacing w:before="0" w:line="360" w:lineRule="auto"/>
        <w:ind w:left="3544"/>
        <w:rPr>
          <w:b/>
          <w:bCs/>
          <w:sz w:val="16"/>
          <w:szCs w:val="16"/>
          <w:rtl/>
        </w:rPr>
      </w:pPr>
      <w:bookmarkStart w:id="5" w:name="LGS_Join_List"/>
      <w:r>
        <w:rPr>
          <w:rtl/>
        </w:rPr>
        <w:t xml:space="preserve"> </w:t>
      </w:r>
      <w:bookmarkEnd w:id="5"/>
      <w:r w:rsidR="002200A1" w:rsidRPr="00CF1AA2">
        <w:rPr>
          <w:rFonts w:hint="cs"/>
          <w:rtl/>
        </w:rPr>
        <w:tab/>
      </w:r>
      <w:bookmarkStart w:id="6" w:name="LGS_PM_NamesJoin"/>
      <w:r>
        <w:rPr>
          <w:rFonts w:hint="cs"/>
          <w:rtl/>
        </w:rPr>
        <w:t xml:space="preserve"> </w:t>
      </w:r>
      <w:bookmarkEnd w:id="6"/>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79B2AF85" w:rsidR="00E13C27" w:rsidRPr="00E06736" w:rsidRDefault="00904591" w:rsidP="007F5A3E">
      <w:pPr>
        <w:pStyle w:val="David"/>
        <w:spacing w:before="0" w:line="240" w:lineRule="auto"/>
        <w:ind w:left="3544"/>
        <w:rPr>
          <w:rtl/>
        </w:rPr>
      </w:pPr>
      <w:r>
        <w:t xml:space="preserve">        </w:t>
      </w:r>
      <w:r w:rsidR="00FE2372">
        <w:rPr>
          <w:rtl/>
        </w:rPr>
        <w:tab/>
      </w:r>
      <w:r w:rsidR="00FE2372">
        <w:rPr>
          <w:rtl/>
        </w:rPr>
        <w:tab/>
      </w:r>
      <w:r w:rsidR="00FE2372">
        <w:rPr>
          <w:rtl/>
        </w:rPr>
        <w:tab/>
      </w:r>
      <w:r w:rsidR="00FE2372">
        <w:rPr>
          <w:rtl/>
        </w:rPr>
        <w:tab/>
      </w:r>
      <w:r w:rsidR="00FE2372">
        <w:rPr>
          <w:rFonts w:hint="cs"/>
          <w:rtl/>
        </w:rPr>
        <w:t>פ/4157/20</w:t>
      </w:r>
    </w:p>
    <w:p w14:paraId="7F6961AD" w14:textId="5F8D94DB" w:rsidR="00E13C27" w:rsidRDefault="00A443CF" w:rsidP="007B43AA">
      <w:pPr>
        <w:pStyle w:val="HeadHatzaotHok"/>
        <w:rPr>
          <w:rtl/>
        </w:rPr>
      </w:pPr>
      <w:bookmarkStart w:id="7" w:name="LGS_Subject"/>
      <w:r>
        <w:rPr>
          <w:rFonts w:hint="cs"/>
          <w:rtl/>
        </w:rPr>
        <w:t xml:space="preserve">הצעת חוק למניעת אלימות במשפחה (תיקון – פיקוח אלקטרוני על אדם שהוצא כנגדו צו הגנה), </w:t>
      </w:r>
      <w:proofErr w:type="spellStart"/>
      <w:r>
        <w:rPr>
          <w:rFonts w:hint="cs"/>
          <w:rtl/>
        </w:rPr>
        <w:t>התשע"ז</w:t>
      </w:r>
      <w:proofErr w:type="spellEnd"/>
      <w:r w:rsidR="007B43AA">
        <w:rPr>
          <w:rFonts w:hint="eastAsia"/>
          <w:rtl/>
        </w:rPr>
        <w:t>–</w:t>
      </w:r>
      <w:r>
        <w:rPr>
          <w:rFonts w:hint="cs"/>
          <w:rtl/>
        </w:rPr>
        <w:t>2017</w:t>
      </w:r>
      <w:bookmarkEnd w:id="7"/>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4"/>
        <w:gridCol w:w="624"/>
        <w:gridCol w:w="624"/>
        <w:gridCol w:w="624"/>
        <w:gridCol w:w="624"/>
        <w:gridCol w:w="624"/>
        <w:gridCol w:w="3401"/>
      </w:tblGrid>
      <w:tr w:rsidR="00353EEB" w14:paraId="727E466E" w14:textId="77777777" w:rsidTr="005D53FC">
        <w:trPr>
          <w:cantSplit/>
        </w:trPr>
        <w:tc>
          <w:tcPr>
            <w:tcW w:w="1869" w:type="dxa"/>
          </w:tcPr>
          <w:p w14:paraId="0387EA9F" w14:textId="77777777" w:rsidR="00353EEB" w:rsidRDefault="00353EEB" w:rsidP="001B46F4">
            <w:pPr>
              <w:pStyle w:val="TableSideHeading"/>
              <w:keepLines w:val="0"/>
            </w:pPr>
            <w:r>
              <w:rPr>
                <w:rFonts w:hint="cs"/>
                <w:rtl/>
              </w:rPr>
              <w:t>תיקון סעיף 1</w:t>
            </w:r>
          </w:p>
        </w:tc>
        <w:tc>
          <w:tcPr>
            <w:tcW w:w="624" w:type="dxa"/>
          </w:tcPr>
          <w:p w14:paraId="1040972D" w14:textId="00D5E1E4" w:rsidR="00353EEB" w:rsidRDefault="009A73A5" w:rsidP="001963DF">
            <w:pPr>
              <w:pStyle w:val="TableText"/>
              <w:keepLines w:val="0"/>
            </w:pPr>
            <w:r>
              <w:rPr>
                <w:rFonts w:hint="cs"/>
                <w:rtl/>
              </w:rPr>
              <w:t>1.</w:t>
            </w:r>
          </w:p>
        </w:tc>
        <w:tc>
          <w:tcPr>
            <w:tcW w:w="7145" w:type="dxa"/>
            <w:gridSpan w:val="7"/>
          </w:tcPr>
          <w:p w14:paraId="18F462C8" w14:textId="7A73C682" w:rsidR="00353EEB" w:rsidRPr="00C34DE2" w:rsidRDefault="00353EEB" w:rsidP="007B43AA">
            <w:pPr>
              <w:pStyle w:val="TableBlock"/>
            </w:pPr>
            <w:r w:rsidRPr="003E707D">
              <w:rPr>
                <w:rtl/>
              </w:rPr>
              <w:t xml:space="preserve">בחוק למניעת אלימות במשפחה, </w:t>
            </w:r>
            <w:proofErr w:type="spellStart"/>
            <w:r w:rsidRPr="003E707D">
              <w:rPr>
                <w:rtl/>
              </w:rPr>
              <w:t>התשנ"א</w:t>
            </w:r>
            <w:proofErr w:type="spellEnd"/>
            <w:r w:rsidRPr="003E707D">
              <w:rPr>
                <w:rtl/>
              </w:rPr>
              <w:t>–1991</w:t>
            </w:r>
            <w:r w:rsidRPr="007B43AA">
              <w:rPr>
                <w:sz w:val="14"/>
                <w:szCs w:val="20"/>
                <w:rtl/>
              </w:rPr>
              <w:footnoteReference w:id="2"/>
            </w:r>
            <w:r w:rsidRPr="003E707D">
              <w:rPr>
                <w:rtl/>
              </w:rPr>
              <w:t xml:space="preserve"> </w:t>
            </w:r>
            <w:r w:rsidR="009A73A5">
              <w:rPr>
                <w:rtl/>
              </w:rPr>
              <w:t>(להלן</w:t>
            </w:r>
            <w:r w:rsidR="009A73A5">
              <w:rPr>
                <w:rFonts w:hint="cs"/>
                <w:rtl/>
              </w:rPr>
              <w:t xml:space="preserve"> </w:t>
            </w:r>
            <w:r w:rsidR="009A73A5">
              <w:rPr>
                <w:rFonts w:hint="eastAsia"/>
                <w:rtl/>
              </w:rPr>
              <w:t>–</w:t>
            </w:r>
            <w:r w:rsidR="009A73A5">
              <w:rPr>
                <w:rFonts w:hint="cs"/>
                <w:rtl/>
              </w:rPr>
              <w:t xml:space="preserve"> </w:t>
            </w:r>
            <w:r w:rsidR="009A73A5">
              <w:rPr>
                <w:rtl/>
              </w:rPr>
              <w:t>החוק העיקרי</w:t>
            </w:r>
            <w:r>
              <w:rPr>
                <w:rtl/>
              </w:rPr>
              <w:t>)</w:t>
            </w:r>
            <w:r w:rsidRPr="003E707D">
              <w:rPr>
                <w:rtl/>
              </w:rPr>
              <w:t xml:space="preserve">, </w:t>
            </w:r>
            <w:r>
              <w:rPr>
                <w:rtl/>
              </w:rPr>
              <w:t xml:space="preserve">בסעיף  1 </w:t>
            </w:r>
            <w:r w:rsidR="007B43AA">
              <w:rPr>
                <w:rFonts w:hint="cs"/>
                <w:rtl/>
              </w:rPr>
              <w:t>–</w:t>
            </w:r>
          </w:p>
        </w:tc>
      </w:tr>
      <w:tr w:rsidR="00353EEB" w14:paraId="63F64F95" w14:textId="77777777" w:rsidTr="005D53FC">
        <w:trPr>
          <w:cantSplit/>
        </w:trPr>
        <w:tc>
          <w:tcPr>
            <w:tcW w:w="1869" w:type="dxa"/>
          </w:tcPr>
          <w:p w14:paraId="7160D781" w14:textId="77777777" w:rsidR="00353EEB" w:rsidRDefault="00353EEB" w:rsidP="001B46F4">
            <w:pPr>
              <w:pStyle w:val="TableSideHeading"/>
              <w:keepLines w:val="0"/>
              <w:rPr>
                <w:rtl/>
              </w:rPr>
            </w:pPr>
          </w:p>
        </w:tc>
        <w:tc>
          <w:tcPr>
            <w:tcW w:w="624" w:type="dxa"/>
          </w:tcPr>
          <w:p w14:paraId="2B385F49" w14:textId="77777777" w:rsidR="00353EEB" w:rsidRDefault="00353EEB" w:rsidP="001B46F4">
            <w:pPr>
              <w:pStyle w:val="TableText"/>
              <w:keepLines w:val="0"/>
              <w:ind w:left="720"/>
            </w:pPr>
          </w:p>
        </w:tc>
        <w:tc>
          <w:tcPr>
            <w:tcW w:w="7145" w:type="dxa"/>
            <w:gridSpan w:val="7"/>
          </w:tcPr>
          <w:p w14:paraId="2CAC2AE5" w14:textId="77777777" w:rsidR="00353EEB" w:rsidRPr="003E707D" w:rsidRDefault="00353EEB" w:rsidP="001963DF">
            <w:pPr>
              <w:pStyle w:val="TableBlock"/>
              <w:numPr>
                <w:ilvl w:val="0"/>
                <w:numId w:val="16"/>
              </w:numPr>
              <w:ind w:left="0" w:firstLine="0"/>
              <w:rPr>
                <w:rtl/>
              </w:rPr>
            </w:pPr>
            <w:r>
              <w:rPr>
                <w:rtl/>
              </w:rPr>
              <w:t>לפני ההגדרה "בית משפט" יבוא:</w:t>
            </w:r>
          </w:p>
        </w:tc>
      </w:tr>
      <w:tr w:rsidR="005D53FC" w14:paraId="1D9E317D" w14:textId="77777777" w:rsidTr="005D53FC">
        <w:trPr>
          <w:cantSplit/>
          <w:trHeight w:val="60"/>
        </w:trPr>
        <w:tc>
          <w:tcPr>
            <w:tcW w:w="1869" w:type="dxa"/>
          </w:tcPr>
          <w:p w14:paraId="51B39BEE" w14:textId="77777777" w:rsidR="005D53FC" w:rsidRDefault="005D53FC">
            <w:pPr>
              <w:pStyle w:val="TableSideHeading"/>
            </w:pPr>
          </w:p>
        </w:tc>
        <w:tc>
          <w:tcPr>
            <w:tcW w:w="624" w:type="dxa"/>
          </w:tcPr>
          <w:p w14:paraId="7271D83E" w14:textId="77777777" w:rsidR="005D53FC" w:rsidRDefault="005D53FC">
            <w:pPr>
              <w:pStyle w:val="TableText"/>
            </w:pPr>
          </w:p>
        </w:tc>
        <w:tc>
          <w:tcPr>
            <w:tcW w:w="624" w:type="dxa"/>
          </w:tcPr>
          <w:p w14:paraId="1481BA1D" w14:textId="77777777" w:rsidR="005D53FC" w:rsidRDefault="005D53FC">
            <w:pPr>
              <w:pStyle w:val="TableText"/>
            </w:pPr>
          </w:p>
        </w:tc>
        <w:tc>
          <w:tcPr>
            <w:tcW w:w="6521" w:type="dxa"/>
            <w:gridSpan w:val="6"/>
          </w:tcPr>
          <w:p w14:paraId="4FCD9A1D" w14:textId="10E375B4" w:rsidR="005D53FC" w:rsidRDefault="005D53FC">
            <w:pPr>
              <w:pStyle w:val="TableBlock"/>
            </w:pPr>
            <w:r>
              <w:rPr>
                <w:rFonts w:hint="cs"/>
                <w:rtl/>
              </w:rPr>
              <w:t>"</w:t>
            </w:r>
            <w:r>
              <w:rPr>
                <w:rtl/>
              </w:rPr>
              <w:t>"</w:t>
            </w:r>
            <w:r w:rsidRPr="00381716">
              <w:rPr>
                <w:rtl/>
              </w:rPr>
              <w:t>אזור פיקוח" – האזור שבית המשפט קבע כי אסור למפוקח להימצא בו, לרבות מרחק מ</w:t>
            </w:r>
            <w:r>
              <w:rPr>
                <w:rtl/>
              </w:rPr>
              <w:t>בן משפחה מוגן;</w:t>
            </w:r>
          </w:p>
        </w:tc>
      </w:tr>
      <w:tr w:rsidR="005D53FC" w14:paraId="669A5005" w14:textId="77777777" w:rsidTr="005D53FC">
        <w:trPr>
          <w:cantSplit/>
          <w:trHeight w:val="60"/>
        </w:trPr>
        <w:tc>
          <w:tcPr>
            <w:tcW w:w="1869" w:type="dxa"/>
          </w:tcPr>
          <w:p w14:paraId="02835BEC" w14:textId="77777777" w:rsidR="005D53FC" w:rsidRDefault="005D53FC">
            <w:pPr>
              <w:pStyle w:val="TableSideHeading"/>
              <w:rPr>
                <w:rtl/>
              </w:rPr>
            </w:pPr>
          </w:p>
        </w:tc>
        <w:tc>
          <w:tcPr>
            <w:tcW w:w="624" w:type="dxa"/>
          </w:tcPr>
          <w:p w14:paraId="046A2E9A" w14:textId="77777777" w:rsidR="005D53FC" w:rsidRDefault="005D53FC" w:rsidP="005D53FC">
            <w:pPr>
              <w:pStyle w:val="TableText"/>
            </w:pPr>
          </w:p>
        </w:tc>
        <w:tc>
          <w:tcPr>
            <w:tcW w:w="624" w:type="dxa"/>
          </w:tcPr>
          <w:p w14:paraId="788A7075" w14:textId="77777777" w:rsidR="005D53FC" w:rsidRDefault="005D53FC">
            <w:pPr>
              <w:pStyle w:val="TableText"/>
            </w:pPr>
          </w:p>
        </w:tc>
        <w:tc>
          <w:tcPr>
            <w:tcW w:w="6521" w:type="dxa"/>
            <w:gridSpan w:val="6"/>
          </w:tcPr>
          <w:p w14:paraId="72093745" w14:textId="5E7E8DE4" w:rsidR="005D53FC" w:rsidRDefault="005D53FC">
            <w:pPr>
              <w:pStyle w:val="TableBlock"/>
              <w:rPr>
                <w:rtl/>
              </w:rPr>
            </w:pPr>
            <w:r>
              <w:rPr>
                <w:rtl/>
              </w:rPr>
              <w:t>"</w:t>
            </w:r>
            <w:r w:rsidRPr="00381716">
              <w:rPr>
                <w:rtl/>
              </w:rPr>
              <w:t>אמצעי פיקוח אלקטרוני" –</w:t>
            </w:r>
            <w:r>
              <w:rPr>
                <w:rFonts w:hint="cs"/>
                <w:rtl/>
              </w:rPr>
              <w:t xml:space="preserve"> </w:t>
            </w:r>
            <w:r w:rsidRPr="003E707D">
              <w:rPr>
                <w:rtl/>
              </w:rPr>
              <w:t xml:space="preserve">אמצעי </w:t>
            </w:r>
            <w:proofErr w:type="spellStart"/>
            <w:r w:rsidRPr="003E707D">
              <w:rPr>
                <w:rtl/>
              </w:rPr>
              <w:t>המנ</w:t>
            </w:r>
            <w:r>
              <w:rPr>
                <w:rFonts w:hint="cs"/>
                <w:rtl/>
              </w:rPr>
              <w:t>ט</w:t>
            </w:r>
            <w:r w:rsidRPr="003E707D">
              <w:rPr>
                <w:rtl/>
              </w:rPr>
              <w:t>ר</w:t>
            </w:r>
            <w:proofErr w:type="spellEnd"/>
            <w:r w:rsidRPr="003E707D">
              <w:rPr>
                <w:rtl/>
              </w:rPr>
              <w:t xml:space="preserve"> באמצעים אלקטרוניים מבוססי מערכת איכון עולמית</w:t>
            </w:r>
            <w:r>
              <w:rPr>
                <w:rFonts w:hint="cs"/>
                <w:rtl/>
              </w:rPr>
              <w:t xml:space="preserve"> </w:t>
            </w:r>
            <w:r w:rsidRPr="003E707D">
              <w:t>GPS)</w:t>
            </w:r>
            <w:r w:rsidRPr="003E707D">
              <w:rPr>
                <w:rtl/>
              </w:rPr>
              <w:t xml:space="preserve">) </w:t>
            </w:r>
            <w:r>
              <w:rPr>
                <w:rFonts w:hint="cs"/>
                <w:rtl/>
              </w:rPr>
              <w:t>ו</w:t>
            </w:r>
            <w:r w:rsidRPr="003E707D">
              <w:rPr>
                <w:rtl/>
              </w:rPr>
              <w:t>באופן רציף את נוכחותו של מפוקח באזור הפיקוח</w:t>
            </w:r>
            <w:r>
              <w:rPr>
                <w:rtl/>
              </w:rPr>
              <w:t>;</w:t>
            </w:r>
            <w:r>
              <w:rPr>
                <w:rFonts w:hint="cs"/>
                <w:rtl/>
              </w:rPr>
              <w:t>";</w:t>
            </w:r>
          </w:p>
        </w:tc>
      </w:tr>
      <w:tr w:rsidR="00353EEB" w14:paraId="34F8C146" w14:textId="77777777" w:rsidTr="005D53FC">
        <w:trPr>
          <w:cantSplit/>
        </w:trPr>
        <w:tc>
          <w:tcPr>
            <w:tcW w:w="1869" w:type="dxa"/>
          </w:tcPr>
          <w:p w14:paraId="4E208505" w14:textId="77777777" w:rsidR="00353EEB" w:rsidRDefault="00353EEB" w:rsidP="001B46F4">
            <w:pPr>
              <w:pStyle w:val="TableSideHeading"/>
              <w:keepLines w:val="0"/>
              <w:rPr>
                <w:rtl/>
              </w:rPr>
            </w:pPr>
          </w:p>
        </w:tc>
        <w:tc>
          <w:tcPr>
            <w:tcW w:w="624" w:type="dxa"/>
          </w:tcPr>
          <w:p w14:paraId="509BFAC4" w14:textId="77777777" w:rsidR="00353EEB" w:rsidRDefault="00353EEB" w:rsidP="001B46F4">
            <w:pPr>
              <w:pStyle w:val="TableText"/>
              <w:keepLines w:val="0"/>
              <w:ind w:left="720"/>
            </w:pPr>
          </w:p>
        </w:tc>
        <w:tc>
          <w:tcPr>
            <w:tcW w:w="7145" w:type="dxa"/>
            <w:gridSpan w:val="7"/>
          </w:tcPr>
          <w:p w14:paraId="0AF004E7" w14:textId="77777777" w:rsidR="00353EEB" w:rsidRPr="003E707D" w:rsidRDefault="00353EEB" w:rsidP="001963DF">
            <w:pPr>
              <w:pStyle w:val="TableBlock"/>
              <w:numPr>
                <w:ilvl w:val="0"/>
                <w:numId w:val="16"/>
              </w:numPr>
              <w:ind w:left="0" w:firstLine="0"/>
              <w:rPr>
                <w:rtl/>
              </w:rPr>
            </w:pPr>
            <w:r>
              <w:rPr>
                <w:rtl/>
              </w:rPr>
              <w:t>אחרי ההגדרה</w:t>
            </w:r>
            <w:r>
              <w:rPr>
                <w:rFonts w:hint="cs"/>
                <w:rtl/>
              </w:rPr>
              <w:t xml:space="preserve"> </w:t>
            </w:r>
            <w:r>
              <w:rPr>
                <w:rtl/>
              </w:rPr>
              <w:t>"בן משפחה" יבוא:</w:t>
            </w:r>
          </w:p>
        </w:tc>
      </w:tr>
      <w:tr w:rsidR="005D53FC" w14:paraId="25A3FAA9" w14:textId="77777777" w:rsidTr="005D53FC">
        <w:trPr>
          <w:cantSplit/>
          <w:trHeight w:val="60"/>
        </w:trPr>
        <w:tc>
          <w:tcPr>
            <w:tcW w:w="1869" w:type="dxa"/>
          </w:tcPr>
          <w:p w14:paraId="3816429D" w14:textId="77777777" w:rsidR="005D53FC" w:rsidRDefault="005D53FC">
            <w:pPr>
              <w:pStyle w:val="TableSideHeading"/>
            </w:pPr>
          </w:p>
        </w:tc>
        <w:tc>
          <w:tcPr>
            <w:tcW w:w="624" w:type="dxa"/>
          </w:tcPr>
          <w:p w14:paraId="49065242" w14:textId="77777777" w:rsidR="005D53FC" w:rsidRDefault="005D53FC">
            <w:pPr>
              <w:pStyle w:val="TableText"/>
            </w:pPr>
          </w:p>
        </w:tc>
        <w:tc>
          <w:tcPr>
            <w:tcW w:w="624" w:type="dxa"/>
          </w:tcPr>
          <w:p w14:paraId="128E83EC" w14:textId="77777777" w:rsidR="005D53FC" w:rsidRDefault="005D53FC">
            <w:pPr>
              <w:pStyle w:val="TableText"/>
            </w:pPr>
          </w:p>
        </w:tc>
        <w:tc>
          <w:tcPr>
            <w:tcW w:w="6521" w:type="dxa"/>
            <w:gridSpan w:val="6"/>
          </w:tcPr>
          <w:p w14:paraId="0067B554" w14:textId="1B490BAB" w:rsidR="005D53FC" w:rsidRDefault="00623D93">
            <w:pPr>
              <w:pStyle w:val="TableBlock"/>
            </w:pPr>
            <w:r>
              <w:rPr>
                <w:rFonts w:hint="cs"/>
                <w:rtl/>
              </w:rPr>
              <w:t>"</w:t>
            </w:r>
            <w:r w:rsidR="005D53FC">
              <w:rPr>
                <w:rtl/>
              </w:rPr>
              <w:t>"בן משפחה מוגן" – בן המשפחה אליו מתייחס צו ההגנה;</w:t>
            </w:r>
            <w:r w:rsidR="005D53FC" w:rsidDel="00D431C7">
              <w:rPr>
                <w:rtl/>
              </w:rPr>
              <w:t xml:space="preserve"> </w:t>
            </w:r>
            <w:r w:rsidR="005D53FC">
              <w:rPr>
                <w:rtl/>
              </w:rPr>
              <w:t xml:space="preserve"> </w:t>
            </w:r>
          </w:p>
        </w:tc>
      </w:tr>
      <w:tr w:rsidR="005D53FC" w14:paraId="76CB6701" w14:textId="77777777" w:rsidTr="005D53FC">
        <w:trPr>
          <w:cantSplit/>
          <w:trHeight w:val="60"/>
        </w:trPr>
        <w:tc>
          <w:tcPr>
            <w:tcW w:w="1869" w:type="dxa"/>
          </w:tcPr>
          <w:p w14:paraId="32940DD2" w14:textId="77777777" w:rsidR="005D53FC" w:rsidRDefault="005D53FC">
            <w:pPr>
              <w:pStyle w:val="TableSideHeading"/>
              <w:rPr>
                <w:rtl/>
              </w:rPr>
            </w:pPr>
          </w:p>
        </w:tc>
        <w:tc>
          <w:tcPr>
            <w:tcW w:w="624" w:type="dxa"/>
          </w:tcPr>
          <w:p w14:paraId="74E30F79" w14:textId="77777777" w:rsidR="005D53FC" w:rsidRDefault="005D53FC" w:rsidP="005D53FC">
            <w:pPr>
              <w:pStyle w:val="TableText"/>
            </w:pPr>
          </w:p>
        </w:tc>
        <w:tc>
          <w:tcPr>
            <w:tcW w:w="624" w:type="dxa"/>
          </w:tcPr>
          <w:p w14:paraId="45D57B29" w14:textId="77777777" w:rsidR="005D53FC" w:rsidRDefault="005D53FC">
            <w:pPr>
              <w:pStyle w:val="TableText"/>
            </w:pPr>
          </w:p>
        </w:tc>
        <w:tc>
          <w:tcPr>
            <w:tcW w:w="6521" w:type="dxa"/>
            <w:gridSpan w:val="6"/>
          </w:tcPr>
          <w:p w14:paraId="29E2A472" w14:textId="4ED34D4B" w:rsidR="005D53FC" w:rsidRDefault="005D53FC" w:rsidP="00623D93">
            <w:pPr>
              <w:pStyle w:val="TableBlock"/>
              <w:rPr>
                <w:rtl/>
              </w:rPr>
            </w:pPr>
            <w:r>
              <w:rPr>
                <w:rtl/>
              </w:rPr>
              <w:t xml:space="preserve">"החברה המפעילה" – </w:t>
            </w:r>
            <w:r>
              <w:rPr>
                <w:rFonts w:hint="cs"/>
                <w:rtl/>
              </w:rPr>
              <w:t xml:space="preserve">חברה אחת או יותר, המקיימת אחר הוראות פקודת הטלגרף האלחוטי [נוסח חדש], </w:t>
            </w:r>
            <w:proofErr w:type="spellStart"/>
            <w:r>
              <w:rPr>
                <w:rFonts w:hint="cs"/>
                <w:rtl/>
              </w:rPr>
              <w:t>התשל"ב</w:t>
            </w:r>
            <w:proofErr w:type="spellEnd"/>
            <w:r w:rsidR="00623D93">
              <w:rPr>
                <w:rFonts w:hint="eastAsia"/>
                <w:rtl/>
              </w:rPr>
              <w:t>–</w:t>
            </w:r>
            <w:r>
              <w:rPr>
                <w:rFonts w:hint="cs"/>
                <w:rtl/>
              </w:rPr>
              <w:t>1972</w:t>
            </w:r>
            <w:r>
              <w:rPr>
                <w:rStyle w:val="a6"/>
                <w:rtl/>
              </w:rPr>
              <w:footnoteReference w:id="3"/>
            </w:r>
            <w:r>
              <w:rPr>
                <w:rFonts w:hint="cs"/>
                <w:rtl/>
              </w:rPr>
              <w:t>, שהמדינה התקשרה עמה, לשם אספקה והפעלה של אמצעי הפיקוח האלקטרוני, ולביצוע בקרה בכל הנוגע לפעולתם</w:t>
            </w:r>
            <w:r>
              <w:rPr>
                <w:rtl/>
              </w:rPr>
              <w:t>, בהתאם לנהלים ש</w:t>
            </w:r>
            <w:r>
              <w:rPr>
                <w:rFonts w:hint="cs"/>
                <w:rtl/>
              </w:rPr>
              <w:t>הורה</w:t>
            </w:r>
            <w:r w:rsidRPr="003E707D">
              <w:rPr>
                <w:rtl/>
              </w:rPr>
              <w:t xml:space="preserve"> השר</w:t>
            </w:r>
            <w:r>
              <w:rPr>
                <w:rFonts w:hint="cs"/>
                <w:rtl/>
              </w:rPr>
              <w:t xml:space="preserve"> לעניין זה</w:t>
            </w:r>
            <w:r>
              <w:rPr>
                <w:rtl/>
              </w:rPr>
              <w:t>;</w:t>
            </w:r>
            <w:r w:rsidRPr="003E707D">
              <w:rPr>
                <w:rtl/>
              </w:rPr>
              <w:t xml:space="preserve"> </w:t>
            </w:r>
            <w:r>
              <w:rPr>
                <w:rtl/>
              </w:rPr>
              <w:t xml:space="preserve"> </w:t>
            </w:r>
          </w:p>
        </w:tc>
      </w:tr>
      <w:tr w:rsidR="005D53FC" w14:paraId="21871691" w14:textId="77777777" w:rsidTr="005D53FC">
        <w:trPr>
          <w:cantSplit/>
          <w:trHeight w:val="60"/>
        </w:trPr>
        <w:tc>
          <w:tcPr>
            <w:tcW w:w="1869" w:type="dxa"/>
          </w:tcPr>
          <w:p w14:paraId="39BAEA82" w14:textId="77777777" w:rsidR="005D53FC" w:rsidRDefault="005D53FC">
            <w:pPr>
              <w:pStyle w:val="TableSideHeading"/>
              <w:rPr>
                <w:rtl/>
              </w:rPr>
            </w:pPr>
          </w:p>
        </w:tc>
        <w:tc>
          <w:tcPr>
            <w:tcW w:w="624" w:type="dxa"/>
          </w:tcPr>
          <w:p w14:paraId="52C362C1" w14:textId="77777777" w:rsidR="005D53FC" w:rsidRDefault="005D53FC" w:rsidP="005D53FC">
            <w:pPr>
              <w:pStyle w:val="TableText"/>
            </w:pPr>
          </w:p>
        </w:tc>
        <w:tc>
          <w:tcPr>
            <w:tcW w:w="624" w:type="dxa"/>
          </w:tcPr>
          <w:p w14:paraId="2CB064AD" w14:textId="77777777" w:rsidR="005D53FC" w:rsidRDefault="005D53FC">
            <w:pPr>
              <w:pStyle w:val="TableText"/>
            </w:pPr>
          </w:p>
        </w:tc>
        <w:tc>
          <w:tcPr>
            <w:tcW w:w="6521" w:type="dxa"/>
            <w:gridSpan w:val="6"/>
          </w:tcPr>
          <w:p w14:paraId="0612FD2B" w14:textId="38AD3148" w:rsidR="005D53FC" w:rsidRDefault="005D53FC">
            <w:pPr>
              <w:pStyle w:val="TableBlock"/>
              <w:rPr>
                <w:rtl/>
              </w:rPr>
            </w:pPr>
            <w:r w:rsidRPr="003E707D">
              <w:rPr>
                <w:rtl/>
              </w:rPr>
              <w:t xml:space="preserve">"הממונה" – מי שמונה לתפקיד הממונה על הפיקוח האלקטרוני לפי </w:t>
            </w:r>
            <w:r>
              <w:rPr>
                <w:rtl/>
              </w:rPr>
              <w:t>חוק</w:t>
            </w:r>
            <w:r w:rsidRPr="003E707D">
              <w:rPr>
                <w:rtl/>
              </w:rPr>
              <w:t xml:space="preserve"> זה</w:t>
            </w:r>
            <w:r>
              <w:rPr>
                <w:rtl/>
              </w:rPr>
              <w:t>;</w:t>
            </w:r>
            <w:r w:rsidR="00623D93">
              <w:rPr>
                <w:rFonts w:hint="cs"/>
                <w:rtl/>
              </w:rPr>
              <w:t>";</w:t>
            </w:r>
          </w:p>
        </w:tc>
      </w:tr>
      <w:tr w:rsidR="00353EEB" w14:paraId="0172C9CD" w14:textId="77777777" w:rsidTr="005D53FC">
        <w:trPr>
          <w:cantSplit/>
        </w:trPr>
        <w:tc>
          <w:tcPr>
            <w:tcW w:w="1869" w:type="dxa"/>
          </w:tcPr>
          <w:p w14:paraId="4976D476" w14:textId="77777777" w:rsidR="00353EEB" w:rsidRDefault="00353EEB" w:rsidP="001B46F4">
            <w:pPr>
              <w:pStyle w:val="TableSideHeading"/>
              <w:keepLines w:val="0"/>
              <w:rPr>
                <w:rtl/>
              </w:rPr>
            </w:pPr>
          </w:p>
        </w:tc>
        <w:tc>
          <w:tcPr>
            <w:tcW w:w="624" w:type="dxa"/>
          </w:tcPr>
          <w:p w14:paraId="6EC18FA0" w14:textId="77777777" w:rsidR="00353EEB" w:rsidRDefault="00353EEB" w:rsidP="001B46F4">
            <w:pPr>
              <w:pStyle w:val="TableText"/>
              <w:keepLines w:val="0"/>
              <w:ind w:left="720"/>
            </w:pPr>
          </w:p>
        </w:tc>
        <w:tc>
          <w:tcPr>
            <w:tcW w:w="7145" w:type="dxa"/>
            <w:gridSpan w:val="7"/>
          </w:tcPr>
          <w:p w14:paraId="12AFE863" w14:textId="0F9D1DB1" w:rsidR="00353EEB" w:rsidRDefault="00353EEB" w:rsidP="001963DF">
            <w:pPr>
              <w:pStyle w:val="TableBlock"/>
              <w:rPr>
                <w:rtl/>
              </w:rPr>
            </w:pPr>
            <w:r>
              <w:rPr>
                <w:rFonts w:hint="cs"/>
                <w:rtl/>
              </w:rPr>
              <w:t>(3)</w:t>
            </w:r>
            <w:r w:rsidR="00623D93">
              <w:rPr>
                <w:rtl/>
              </w:rPr>
              <w:tab/>
              <w:t>אחרי ההגדרה "חסר ישע" יבוא</w:t>
            </w:r>
            <w:r w:rsidR="00623D93">
              <w:rPr>
                <w:rFonts w:hint="cs"/>
                <w:rtl/>
              </w:rPr>
              <w:t>:</w:t>
            </w:r>
          </w:p>
        </w:tc>
      </w:tr>
      <w:tr w:rsidR="00623D93" w14:paraId="5875EACF" w14:textId="77777777" w:rsidTr="00623D93">
        <w:trPr>
          <w:cantSplit/>
          <w:trHeight w:val="60"/>
        </w:trPr>
        <w:tc>
          <w:tcPr>
            <w:tcW w:w="1869" w:type="dxa"/>
          </w:tcPr>
          <w:p w14:paraId="67486EBF" w14:textId="77777777" w:rsidR="00623D93" w:rsidRDefault="00623D93">
            <w:pPr>
              <w:pStyle w:val="TableSideHeading"/>
            </w:pPr>
          </w:p>
        </w:tc>
        <w:tc>
          <w:tcPr>
            <w:tcW w:w="624" w:type="dxa"/>
          </w:tcPr>
          <w:p w14:paraId="60CD7C30" w14:textId="77777777" w:rsidR="00623D93" w:rsidRDefault="00623D93">
            <w:pPr>
              <w:pStyle w:val="TableText"/>
            </w:pPr>
          </w:p>
        </w:tc>
        <w:tc>
          <w:tcPr>
            <w:tcW w:w="624" w:type="dxa"/>
          </w:tcPr>
          <w:p w14:paraId="46221F5E" w14:textId="77777777" w:rsidR="00623D93" w:rsidRDefault="00623D93">
            <w:pPr>
              <w:pStyle w:val="TableText"/>
            </w:pPr>
          </w:p>
        </w:tc>
        <w:tc>
          <w:tcPr>
            <w:tcW w:w="6521" w:type="dxa"/>
            <w:gridSpan w:val="6"/>
          </w:tcPr>
          <w:p w14:paraId="261A4280" w14:textId="7DF69545" w:rsidR="00623D93" w:rsidRDefault="00623D93">
            <w:pPr>
              <w:pStyle w:val="TableBlock"/>
            </w:pPr>
            <w:r>
              <w:rPr>
                <w:rFonts w:hint="cs"/>
                <w:rtl/>
              </w:rPr>
              <w:t>"</w:t>
            </w:r>
            <w:r w:rsidRPr="00646747">
              <w:rPr>
                <w:rtl/>
              </w:rPr>
              <w:t>"מפוקח" – אדם שבית המשפט הורה שיוצא נגדו צו הגנה בתנאי פיקוח אלקטרוני, באזור פיקוח כפי שיקבע;</w:t>
            </w:r>
          </w:p>
        </w:tc>
      </w:tr>
      <w:tr w:rsidR="00623D93" w14:paraId="7518FA03" w14:textId="77777777" w:rsidTr="00623D93">
        <w:trPr>
          <w:cantSplit/>
          <w:trHeight w:val="60"/>
        </w:trPr>
        <w:tc>
          <w:tcPr>
            <w:tcW w:w="1869" w:type="dxa"/>
          </w:tcPr>
          <w:p w14:paraId="75C4EB5A" w14:textId="77777777" w:rsidR="00623D93" w:rsidRDefault="00623D93">
            <w:pPr>
              <w:pStyle w:val="TableSideHeading"/>
              <w:rPr>
                <w:rtl/>
              </w:rPr>
            </w:pPr>
          </w:p>
        </w:tc>
        <w:tc>
          <w:tcPr>
            <w:tcW w:w="624" w:type="dxa"/>
          </w:tcPr>
          <w:p w14:paraId="1E85C1AD" w14:textId="77777777" w:rsidR="00623D93" w:rsidRDefault="00623D93" w:rsidP="00623D93">
            <w:pPr>
              <w:pStyle w:val="TableText"/>
            </w:pPr>
          </w:p>
        </w:tc>
        <w:tc>
          <w:tcPr>
            <w:tcW w:w="624" w:type="dxa"/>
          </w:tcPr>
          <w:p w14:paraId="0C63C592" w14:textId="77777777" w:rsidR="00623D93" w:rsidRDefault="00623D93">
            <w:pPr>
              <w:pStyle w:val="TableText"/>
            </w:pPr>
          </w:p>
        </w:tc>
        <w:tc>
          <w:tcPr>
            <w:tcW w:w="6521" w:type="dxa"/>
            <w:gridSpan w:val="6"/>
          </w:tcPr>
          <w:p w14:paraId="6A9F1C99" w14:textId="6D179C4A" w:rsidR="00623D93" w:rsidRPr="00646747" w:rsidRDefault="00623D93">
            <w:pPr>
              <w:pStyle w:val="TableBlock"/>
              <w:rPr>
                <w:rtl/>
              </w:rPr>
            </w:pPr>
            <w:r>
              <w:rPr>
                <w:rtl/>
              </w:rPr>
              <w:t>"</w:t>
            </w:r>
            <w:r w:rsidRPr="00646747">
              <w:rPr>
                <w:rtl/>
              </w:rPr>
              <w:t xml:space="preserve">פיקוח אלקטרוני" – </w:t>
            </w:r>
            <w:r w:rsidRPr="0081443B">
              <w:rPr>
                <w:rtl/>
              </w:rPr>
              <w:t>פיקוח באמצעי</w:t>
            </w:r>
            <w:r w:rsidRPr="003E707D">
              <w:rPr>
                <w:rtl/>
              </w:rPr>
              <w:t xml:space="preserve"> פיקוח אלקטרוני</w:t>
            </w:r>
            <w:r>
              <w:rPr>
                <w:rFonts w:hint="cs"/>
                <w:rtl/>
              </w:rPr>
              <w:t>י</w:t>
            </w:r>
            <w:r w:rsidRPr="003E707D">
              <w:rPr>
                <w:rtl/>
              </w:rPr>
              <w:t xml:space="preserve">ם על עמידת מפוקח בתנאי המגביל את כניסתו </w:t>
            </w:r>
            <w:r w:rsidRPr="00201C45">
              <w:rPr>
                <w:rtl/>
              </w:rPr>
              <w:t>למקום מסוים</w:t>
            </w:r>
            <w:r w:rsidRPr="003E707D">
              <w:rPr>
                <w:rtl/>
              </w:rPr>
              <w:t xml:space="preserve"> או את קרבתו של המפוקח לבן משפחה מוגן, באמצעות התקנת אמצעי פיקוח אלקטרוני על המפוקח או על המפוקח ועל בן המשפחה המוגן;</w:t>
            </w:r>
            <w:r>
              <w:rPr>
                <w:rtl/>
              </w:rPr>
              <w:t xml:space="preserve"> ".</w:t>
            </w:r>
          </w:p>
        </w:tc>
      </w:tr>
      <w:tr w:rsidR="00353EEB" w14:paraId="42B1FE1D" w14:textId="77777777" w:rsidTr="005D53FC">
        <w:trPr>
          <w:cantSplit/>
        </w:trPr>
        <w:tc>
          <w:tcPr>
            <w:tcW w:w="1869" w:type="dxa"/>
          </w:tcPr>
          <w:p w14:paraId="2C522E7D" w14:textId="77777777" w:rsidR="00353EEB" w:rsidRDefault="00353EEB" w:rsidP="001B46F4">
            <w:pPr>
              <w:pStyle w:val="TableSideHeading"/>
              <w:keepLines w:val="0"/>
              <w:rPr>
                <w:rtl/>
              </w:rPr>
            </w:pPr>
            <w:r w:rsidRPr="002B5B60">
              <w:rPr>
                <w:rtl/>
              </w:rPr>
              <w:t xml:space="preserve">הוספת סעיפים </w:t>
            </w:r>
            <w:r>
              <w:rPr>
                <w:rtl/>
              </w:rPr>
              <w:t>3א1</w:t>
            </w:r>
            <w:r w:rsidRPr="002B5B60">
              <w:rPr>
                <w:rtl/>
              </w:rPr>
              <w:t xml:space="preserve"> עד </w:t>
            </w:r>
            <w:r>
              <w:rPr>
                <w:rtl/>
              </w:rPr>
              <w:t>3א</w:t>
            </w:r>
            <w:r>
              <w:rPr>
                <w:rFonts w:hint="cs"/>
                <w:rtl/>
              </w:rPr>
              <w:t>6</w:t>
            </w:r>
          </w:p>
        </w:tc>
        <w:tc>
          <w:tcPr>
            <w:tcW w:w="624" w:type="dxa"/>
          </w:tcPr>
          <w:p w14:paraId="67CE3811" w14:textId="2F0D8299" w:rsidR="00353EEB" w:rsidRDefault="00033A17" w:rsidP="00033A17">
            <w:pPr>
              <w:pStyle w:val="TableText"/>
              <w:keepLines w:val="0"/>
            </w:pPr>
            <w:r>
              <w:rPr>
                <w:rFonts w:hint="cs"/>
                <w:rtl/>
              </w:rPr>
              <w:t>2.</w:t>
            </w:r>
          </w:p>
        </w:tc>
        <w:tc>
          <w:tcPr>
            <w:tcW w:w="7145" w:type="dxa"/>
            <w:gridSpan w:val="7"/>
          </w:tcPr>
          <w:p w14:paraId="6D49C907" w14:textId="623DBA53" w:rsidR="00353EEB" w:rsidRDefault="00353EEB" w:rsidP="001963DF">
            <w:pPr>
              <w:pStyle w:val="TableBlock"/>
              <w:rPr>
                <w:rtl/>
              </w:rPr>
            </w:pPr>
            <w:r w:rsidRPr="002B5B60">
              <w:rPr>
                <w:rtl/>
              </w:rPr>
              <w:t xml:space="preserve">אחרי סעיף </w:t>
            </w:r>
            <w:r>
              <w:rPr>
                <w:rtl/>
              </w:rPr>
              <w:t>3</w:t>
            </w:r>
            <w:r w:rsidRPr="002B5B60">
              <w:rPr>
                <w:rtl/>
              </w:rPr>
              <w:t xml:space="preserve">א </w:t>
            </w:r>
            <w:r>
              <w:rPr>
                <w:rtl/>
              </w:rPr>
              <w:t xml:space="preserve">לחוק העיקרי </w:t>
            </w:r>
            <w:r w:rsidR="009A73A5">
              <w:rPr>
                <w:rtl/>
              </w:rPr>
              <w:t>יבוא</w:t>
            </w:r>
            <w:r w:rsidR="00623D93">
              <w:rPr>
                <w:rFonts w:hint="cs"/>
                <w:rtl/>
              </w:rPr>
              <w:t>:</w:t>
            </w:r>
          </w:p>
        </w:tc>
      </w:tr>
      <w:tr w:rsidR="00353EEB" w14:paraId="1B068E6A" w14:textId="77777777" w:rsidTr="005D53FC">
        <w:trPr>
          <w:cantSplit/>
        </w:trPr>
        <w:tc>
          <w:tcPr>
            <w:tcW w:w="1869" w:type="dxa"/>
          </w:tcPr>
          <w:p w14:paraId="416E8004" w14:textId="77777777" w:rsidR="00353EEB" w:rsidRDefault="00353EEB" w:rsidP="001B46F4">
            <w:pPr>
              <w:pStyle w:val="TableSideHeading"/>
              <w:keepLines w:val="0"/>
            </w:pPr>
          </w:p>
        </w:tc>
        <w:tc>
          <w:tcPr>
            <w:tcW w:w="624" w:type="dxa"/>
          </w:tcPr>
          <w:p w14:paraId="4731FF5B" w14:textId="77777777" w:rsidR="00353EEB" w:rsidRDefault="00353EEB" w:rsidP="001B46F4">
            <w:pPr>
              <w:pStyle w:val="TableText"/>
              <w:keepLines w:val="0"/>
            </w:pPr>
          </w:p>
        </w:tc>
        <w:tc>
          <w:tcPr>
            <w:tcW w:w="1872" w:type="dxa"/>
            <w:gridSpan w:val="3"/>
          </w:tcPr>
          <w:p w14:paraId="641E2118" w14:textId="7521DB2A" w:rsidR="00353EEB" w:rsidRDefault="00623D93" w:rsidP="001B46F4">
            <w:pPr>
              <w:pStyle w:val="TableInnerSideHeading"/>
            </w:pPr>
            <w:r>
              <w:rPr>
                <w:rFonts w:hint="cs"/>
                <w:rtl/>
              </w:rPr>
              <w:t>"</w:t>
            </w:r>
            <w:r w:rsidR="00353EEB">
              <w:rPr>
                <w:rFonts w:hint="cs"/>
                <w:rtl/>
              </w:rPr>
              <w:t>צו הגנה בתנאי פיקוח אלקטרוני</w:t>
            </w:r>
          </w:p>
        </w:tc>
        <w:tc>
          <w:tcPr>
            <w:tcW w:w="624" w:type="dxa"/>
          </w:tcPr>
          <w:p w14:paraId="72E88A28" w14:textId="77777777" w:rsidR="00353EEB" w:rsidRDefault="00353EEB" w:rsidP="001B46F4">
            <w:pPr>
              <w:pStyle w:val="TableText"/>
            </w:pPr>
            <w:r>
              <w:rPr>
                <w:rtl/>
              </w:rPr>
              <w:t>3א1</w:t>
            </w:r>
            <w:r w:rsidRPr="002B5B60">
              <w:rPr>
                <w:rtl/>
              </w:rPr>
              <w:t>.</w:t>
            </w:r>
          </w:p>
        </w:tc>
        <w:tc>
          <w:tcPr>
            <w:tcW w:w="4649" w:type="dxa"/>
            <w:gridSpan w:val="3"/>
          </w:tcPr>
          <w:p w14:paraId="5E0904B5" w14:textId="77777777" w:rsidR="00353EEB" w:rsidRDefault="00353EEB" w:rsidP="00711C10">
            <w:pPr>
              <w:pStyle w:val="TableBlock"/>
            </w:pPr>
            <w:r>
              <w:rPr>
                <w:rFonts w:hint="cs"/>
                <w:rtl/>
              </w:rPr>
              <w:t>(א)</w:t>
            </w:r>
            <w:r>
              <w:rPr>
                <w:rtl/>
              </w:rPr>
              <w:tab/>
              <w:t>בית המשפט יהא רשאי לתת צו הגנה בתנאי פיקוח אלקטרוני, מפני אדם אשר התקיימו בעניינו התנאים למתן צו הגנה לפי הוראות סעיף 3, ובהתקיים אחד מהתנאים הבאים:</w:t>
            </w:r>
          </w:p>
        </w:tc>
      </w:tr>
      <w:tr w:rsidR="00353EEB" w14:paraId="518CC77E" w14:textId="77777777" w:rsidTr="005D53FC">
        <w:trPr>
          <w:cantSplit/>
        </w:trPr>
        <w:tc>
          <w:tcPr>
            <w:tcW w:w="1869" w:type="dxa"/>
          </w:tcPr>
          <w:p w14:paraId="6592393E" w14:textId="77777777" w:rsidR="00353EEB" w:rsidRDefault="00353EEB" w:rsidP="001B46F4">
            <w:pPr>
              <w:pStyle w:val="TableSideHeading"/>
            </w:pPr>
          </w:p>
        </w:tc>
        <w:tc>
          <w:tcPr>
            <w:tcW w:w="624" w:type="dxa"/>
          </w:tcPr>
          <w:p w14:paraId="35AAFD54" w14:textId="77777777" w:rsidR="00353EEB" w:rsidRDefault="00353EEB" w:rsidP="001B46F4">
            <w:pPr>
              <w:pStyle w:val="TableText"/>
            </w:pPr>
          </w:p>
        </w:tc>
        <w:tc>
          <w:tcPr>
            <w:tcW w:w="624" w:type="dxa"/>
          </w:tcPr>
          <w:p w14:paraId="7BC55861" w14:textId="77777777" w:rsidR="00353EEB" w:rsidRDefault="00353EEB" w:rsidP="001B46F4">
            <w:pPr>
              <w:pStyle w:val="TableText"/>
            </w:pPr>
          </w:p>
        </w:tc>
        <w:tc>
          <w:tcPr>
            <w:tcW w:w="624" w:type="dxa"/>
          </w:tcPr>
          <w:p w14:paraId="5CDC6B69" w14:textId="77777777" w:rsidR="00353EEB" w:rsidRDefault="00353EEB" w:rsidP="001B46F4">
            <w:pPr>
              <w:pStyle w:val="TableText"/>
            </w:pPr>
          </w:p>
        </w:tc>
        <w:tc>
          <w:tcPr>
            <w:tcW w:w="624" w:type="dxa"/>
          </w:tcPr>
          <w:p w14:paraId="0F1183D3" w14:textId="77777777" w:rsidR="00353EEB" w:rsidRDefault="00353EEB" w:rsidP="001B46F4">
            <w:pPr>
              <w:pStyle w:val="TableText"/>
            </w:pPr>
          </w:p>
        </w:tc>
        <w:tc>
          <w:tcPr>
            <w:tcW w:w="624" w:type="dxa"/>
          </w:tcPr>
          <w:p w14:paraId="2DFADF9D" w14:textId="77777777" w:rsidR="00353EEB" w:rsidRDefault="00353EEB" w:rsidP="001B46F4">
            <w:pPr>
              <w:pStyle w:val="TableText"/>
            </w:pPr>
          </w:p>
        </w:tc>
        <w:tc>
          <w:tcPr>
            <w:tcW w:w="624" w:type="dxa"/>
          </w:tcPr>
          <w:p w14:paraId="0C615917" w14:textId="77777777" w:rsidR="00353EEB" w:rsidRDefault="00353EEB" w:rsidP="001B46F4">
            <w:pPr>
              <w:pStyle w:val="TableText"/>
            </w:pPr>
          </w:p>
        </w:tc>
        <w:tc>
          <w:tcPr>
            <w:tcW w:w="4025" w:type="dxa"/>
            <w:gridSpan w:val="2"/>
          </w:tcPr>
          <w:p w14:paraId="0DA36CAC" w14:textId="24546FFF" w:rsidR="00353EEB" w:rsidRDefault="00353EEB" w:rsidP="00711C10">
            <w:pPr>
              <w:pStyle w:val="TableBlock"/>
            </w:pPr>
            <w:r>
              <w:rPr>
                <w:rFonts w:hint="cs"/>
                <w:rtl/>
              </w:rPr>
              <w:t>(1)</w:t>
            </w:r>
            <w:r>
              <w:rPr>
                <w:rtl/>
              </w:rPr>
              <w:tab/>
              <w:t xml:space="preserve">אותו אדם הפר צו הגנה </w:t>
            </w:r>
            <w:r w:rsidR="00623D93">
              <w:rPr>
                <w:rtl/>
              </w:rPr>
              <w:t>קודם</w:t>
            </w:r>
            <w:r w:rsidR="00623D93">
              <w:rPr>
                <w:rFonts w:hint="cs"/>
                <w:rtl/>
              </w:rPr>
              <w:t>;</w:t>
            </w:r>
          </w:p>
        </w:tc>
      </w:tr>
      <w:tr w:rsidR="00353EEB" w14:paraId="664A4179" w14:textId="77777777" w:rsidTr="005D53FC">
        <w:trPr>
          <w:cantSplit/>
        </w:trPr>
        <w:tc>
          <w:tcPr>
            <w:tcW w:w="1869" w:type="dxa"/>
          </w:tcPr>
          <w:p w14:paraId="20CE11C7" w14:textId="77777777" w:rsidR="00353EEB" w:rsidRDefault="00353EEB" w:rsidP="001B46F4">
            <w:pPr>
              <w:pStyle w:val="TableSideHeading"/>
            </w:pPr>
          </w:p>
        </w:tc>
        <w:tc>
          <w:tcPr>
            <w:tcW w:w="624" w:type="dxa"/>
          </w:tcPr>
          <w:p w14:paraId="1C8CD371" w14:textId="77777777" w:rsidR="00353EEB" w:rsidRDefault="00353EEB" w:rsidP="001B46F4">
            <w:pPr>
              <w:pStyle w:val="TableText"/>
            </w:pPr>
          </w:p>
        </w:tc>
        <w:tc>
          <w:tcPr>
            <w:tcW w:w="624" w:type="dxa"/>
          </w:tcPr>
          <w:p w14:paraId="619848DA" w14:textId="77777777" w:rsidR="00353EEB" w:rsidRDefault="00353EEB" w:rsidP="001B46F4">
            <w:pPr>
              <w:pStyle w:val="TableText"/>
            </w:pPr>
          </w:p>
        </w:tc>
        <w:tc>
          <w:tcPr>
            <w:tcW w:w="624" w:type="dxa"/>
          </w:tcPr>
          <w:p w14:paraId="2A2FB2E1" w14:textId="77777777" w:rsidR="00353EEB" w:rsidRDefault="00353EEB" w:rsidP="001B46F4">
            <w:pPr>
              <w:pStyle w:val="TableText"/>
            </w:pPr>
          </w:p>
        </w:tc>
        <w:tc>
          <w:tcPr>
            <w:tcW w:w="624" w:type="dxa"/>
          </w:tcPr>
          <w:p w14:paraId="02EE39DC" w14:textId="77777777" w:rsidR="00353EEB" w:rsidRDefault="00353EEB" w:rsidP="001B46F4">
            <w:pPr>
              <w:pStyle w:val="TableText"/>
            </w:pPr>
          </w:p>
        </w:tc>
        <w:tc>
          <w:tcPr>
            <w:tcW w:w="624" w:type="dxa"/>
          </w:tcPr>
          <w:p w14:paraId="082E516A" w14:textId="77777777" w:rsidR="00353EEB" w:rsidRDefault="00353EEB" w:rsidP="001B46F4">
            <w:pPr>
              <w:pStyle w:val="TableText"/>
            </w:pPr>
          </w:p>
        </w:tc>
        <w:tc>
          <w:tcPr>
            <w:tcW w:w="624" w:type="dxa"/>
          </w:tcPr>
          <w:p w14:paraId="73F61497" w14:textId="77777777" w:rsidR="00353EEB" w:rsidRDefault="00353EEB" w:rsidP="001B46F4">
            <w:pPr>
              <w:pStyle w:val="TableText"/>
            </w:pPr>
          </w:p>
        </w:tc>
        <w:tc>
          <w:tcPr>
            <w:tcW w:w="4025" w:type="dxa"/>
            <w:gridSpan w:val="2"/>
          </w:tcPr>
          <w:p w14:paraId="4280E7D2" w14:textId="4F74D325" w:rsidR="00353EEB" w:rsidRDefault="00353EEB" w:rsidP="00711C10">
            <w:pPr>
              <w:pStyle w:val="TableBlock"/>
            </w:pPr>
            <w:r>
              <w:rPr>
                <w:rFonts w:hint="cs"/>
                <w:rtl/>
              </w:rPr>
              <w:t>(2)</w:t>
            </w:r>
            <w:r>
              <w:rPr>
                <w:rtl/>
              </w:rPr>
              <w:tab/>
              <w:t>אותו אדם הורשע בעבר בעבירות אלימות, או שתלוי ועומד</w:t>
            </w:r>
            <w:r w:rsidR="00623D93">
              <w:rPr>
                <w:rtl/>
              </w:rPr>
              <w:t xml:space="preserve"> כנגדו כתב אישום בעבירות אלימות</w:t>
            </w:r>
            <w:r w:rsidR="00623D93">
              <w:rPr>
                <w:rFonts w:hint="cs"/>
                <w:rtl/>
              </w:rPr>
              <w:t>;</w:t>
            </w:r>
          </w:p>
        </w:tc>
      </w:tr>
      <w:tr w:rsidR="00353EEB" w14:paraId="1B28277C" w14:textId="77777777" w:rsidTr="005D53FC">
        <w:trPr>
          <w:cantSplit/>
        </w:trPr>
        <w:tc>
          <w:tcPr>
            <w:tcW w:w="1869" w:type="dxa"/>
          </w:tcPr>
          <w:p w14:paraId="49BEA529" w14:textId="77777777" w:rsidR="00353EEB" w:rsidRDefault="00353EEB" w:rsidP="001B46F4">
            <w:pPr>
              <w:pStyle w:val="TableSideHeading"/>
            </w:pPr>
          </w:p>
        </w:tc>
        <w:tc>
          <w:tcPr>
            <w:tcW w:w="624" w:type="dxa"/>
          </w:tcPr>
          <w:p w14:paraId="31D2E672" w14:textId="77777777" w:rsidR="00353EEB" w:rsidRDefault="00353EEB" w:rsidP="001B46F4">
            <w:pPr>
              <w:pStyle w:val="TableText"/>
            </w:pPr>
          </w:p>
        </w:tc>
        <w:tc>
          <w:tcPr>
            <w:tcW w:w="624" w:type="dxa"/>
          </w:tcPr>
          <w:p w14:paraId="02DF6102" w14:textId="77777777" w:rsidR="00353EEB" w:rsidRDefault="00353EEB" w:rsidP="001B46F4">
            <w:pPr>
              <w:pStyle w:val="TableText"/>
            </w:pPr>
          </w:p>
        </w:tc>
        <w:tc>
          <w:tcPr>
            <w:tcW w:w="624" w:type="dxa"/>
          </w:tcPr>
          <w:p w14:paraId="4E99490A" w14:textId="77777777" w:rsidR="00353EEB" w:rsidRDefault="00353EEB" w:rsidP="001B46F4">
            <w:pPr>
              <w:pStyle w:val="TableText"/>
            </w:pPr>
          </w:p>
        </w:tc>
        <w:tc>
          <w:tcPr>
            <w:tcW w:w="624" w:type="dxa"/>
          </w:tcPr>
          <w:p w14:paraId="6993F121" w14:textId="77777777" w:rsidR="00353EEB" w:rsidRDefault="00353EEB" w:rsidP="001B46F4">
            <w:pPr>
              <w:pStyle w:val="TableText"/>
            </w:pPr>
          </w:p>
        </w:tc>
        <w:tc>
          <w:tcPr>
            <w:tcW w:w="624" w:type="dxa"/>
          </w:tcPr>
          <w:p w14:paraId="6B96706D" w14:textId="77777777" w:rsidR="00353EEB" w:rsidRDefault="00353EEB" w:rsidP="001B46F4">
            <w:pPr>
              <w:pStyle w:val="TableText"/>
            </w:pPr>
          </w:p>
        </w:tc>
        <w:tc>
          <w:tcPr>
            <w:tcW w:w="624" w:type="dxa"/>
          </w:tcPr>
          <w:p w14:paraId="056405F4" w14:textId="77777777" w:rsidR="00353EEB" w:rsidRDefault="00353EEB" w:rsidP="001B46F4">
            <w:pPr>
              <w:pStyle w:val="TableText"/>
            </w:pPr>
          </w:p>
        </w:tc>
        <w:tc>
          <w:tcPr>
            <w:tcW w:w="4025" w:type="dxa"/>
            <w:gridSpan w:val="2"/>
          </w:tcPr>
          <w:p w14:paraId="69451AF5" w14:textId="4FD51FD6" w:rsidR="00353EEB" w:rsidRDefault="00353EEB" w:rsidP="009A73A5">
            <w:pPr>
              <w:pStyle w:val="TableBlock"/>
            </w:pPr>
            <w:r>
              <w:rPr>
                <w:rFonts w:hint="cs"/>
                <w:rtl/>
              </w:rPr>
              <w:t>(3)</w:t>
            </w:r>
            <w:r>
              <w:rPr>
                <w:rtl/>
              </w:rPr>
              <w:tab/>
            </w:r>
            <w:r w:rsidRPr="002B5B60">
              <w:rPr>
                <w:rtl/>
              </w:rPr>
              <w:t xml:space="preserve">בית המשפט </w:t>
            </w:r>
            <w:r>
              <w:rPr>
                <w:rtl/>
              </w:rPr>
              <w:t>סבור</w:t>
            </w:r>
            <w:r w:rsidRPr="002B5B60">
              <w:rPr>
                <w:rtl/>
              </w:rPr>
              <w:t xml:space="preserve"> כי </w:t>
            </w:r>
            <w:r w:rsidR="00F32514">
              <w:rPr>
                <w:rFonts w:hint="cs"/>
                <w:rtl/>
              </w:rPr>
              <w:t xml:space="preserve">נדרש </w:t>
            </w:r>
            <w:r w:rsidRPr="002B5B60">
              <w:rPr>
                <w:rtl/>
              </w:rPr>
              <w:t xml:space="preserve">בנסיבות המקרה צו הגנה בפיקוח אלקטרוני </w:t>
            </w:r>
            <w:r w:rsidR="00F32514">
              <w:rPr>
                <w:rFonts w:hint="cs"/>
                <w:rtl/>
              </w:rPr>
              <w:t>כדי להשיג את</w:t>
            </w:r>
            <w:r w:rsidRPr="002B5B60">
              <w:rPr>
                <w:rtl/>
              </w:rPr>
              <w:t xml:space="preserve"> תכלית צו ההגנה</w:t>
            </w:r>
            <w:r>
              <w:rPr>
                <w:rtl/>
              </w:rPr>
              <w:t>,</w:t>
            </w:r>
            <w:r w:rsidRPr="002B5B60">
              <w:rPr>
                <w:rtl/>
              </w:rPr>
              <w:t xml:space="preserve"> </w:t>
            </w:r>
            <w:r>
              <w:rPr>
                <w:rtl/>
              </w:rPr>
              <w:t>בין היתר בשל מסוכנתו של האדם, ומטעמים מיוחדים שי</w:t>
            </w:r>
            <w:r w:rsidR="00623D93">
              <w:rPr>
                <w:rFonts w:hint="cs"/>
                <w:rtl/>
              </w:rPr>
              <w:t>י</w:t>
            </w:r>
            <w:r>
              <w:rPr>
                <w:rtl/>
              </w:rPr>
              <w:t>רשמו.</w:t>
            </w:r>
          </w:p>
        </w:tc>
      </w:tr>
      <w:tr w:rsidR="00353EEB" w14:paraId="107E7B47" w14:textId="77777777" w:rsidTr="005D53FC">
        <w:trPr>
          <w:cantSplit/>
        </w:trPr>
        <w:tc>
          <w:tcPr>
            <w:tcW w:w="1869" w:type="dxa"/>
          </w:tcPr>
          <w:p w14:paraId="6E7F8AE6" w14:textId="77777777" w:rsidR="00353EEB" w:rsidRDefault="00353EEB" w:rsidP="001B46F4">
            <w:pPr>
              <w:pStyle w:val="TableSideHeading"/>
              <w:keepLines w:val="0"/>
            </w:pPr>
          </w:p>
        </w:tc>
        <w:tc>
          <w:tcPr>
            <w:tcW w:w="624" w:type="dxa"/>
          </w:tcPr>
          <w:p w14:paraId="2E008501" w14:textId="77777777" w:rsidR="00353EEB" w:rsidRDefault="00353EEB" w:rsidP="001B46F4">
            <w:pPr>
              <w:pStyle w:val="TableText"/>
              <w:keepLines w:val="0"/>
            </w:pPr>
          </w:p>
        </w:tc>
        <w:tc>
          <w:tcPr>
            <w:tcW w:w="1872" w:type="dxa"/>
            <w:gridSpan w:val="3"/>
          </w:tcPr>
          <w:p w14:paraId="64FB3D1F" w14:textId="77777777" w:rsidR="00353EEB" w:rsidRDefault="00353EEB" w:rsidP="001B46F4">
            <w:pPr>
              <w:pStyle w:val="TableInnerSideHeading"/>
            </w:pPr>
          </w:p>
        </w:tc>
        <w:tc>
          <w:tcPr>
            <w:tcW w:w="624" w:type="dxa"/>
          </w:tcPr>
          <w:p w14:paraId="1564AC3A" w14:textId="77777777" w:rsidR="00353EEB" w:rsidRDefault="00353EEB" w:rsidP="001B46F4">
            <w:pPr>
              <w:pStyle w:val="TableText"/>
            </w:pPr>
          </w:p>
        </w:tc>
        <w:tc>
          <w:tcPr>
            <w:tcW w:w="4649" w:type="dxa"/>
            <w:gridSpan w:val="3"/>
          </w:tcPr>
          <w:p w14:paraId="522FD801" w14:textId="33147DEE" w:rsidR="00353EEB" w:rsidRDefault="00353EEB" w:rsidP="00711C10">
            <w:pPr>
              <w:pStyle w:val="TableBlock"/>
            </w:pPr>
            <w:r>
              <w:rPr>
                <w:rFonts w:hint="cs"/>
                <w:rtl/>
              </w:rPr>
              <w:t>(ב)</w:t>
            </w:r>
            <w:r>
              <w:rPr>
                <w:rtl/>
              </w:rPr>
              <w:tab/>
            </w:r>
            <w:r w:rsidRPr="005838DA">
              <w:rPr>
                <w:rtl/>
              </w:rPr>
              <w:t xml:space="preserve">על אף האמור בסעיף </w:t>
            </w:r>
            <w:r>
              <w:rPr>
                <w:rtl/>
              </w:rPr>
              <w:t>3א1(א)</w:t>
            </w:r>
            <w:r w:rsidR="00623D93">
              <w:rPr>
                <w:rFonts w:hint="cs"/>
                <w:rtl/>
              </w:rPr>
              <w:t>,</w:t>
            </w:r>
            <w:r w:rsidRPr="005838DA">
              <w:rPr>
                <w:rtl/>
              </w:rPr>
              <w:t xml:space="preserve"> לא </w:t>
            </w:r>
            <w:r w:rsidR="003016B1">
              <w:rPr>
                <w:rFonts w:hint="cs"/>
                <w:rtl/>
              </w:rPr>
              <w:t>י</w:t>
            </w:r>
            <w:r w:rsidRPr="005838DA">
              <w:rPr>
                <w:rtl/>
              </w:rPr>
              <w:t>ינתן צו הגנה בפיקוח אלקטרוני אלא בהתקיים התנאים הבאים:</w:t>
            </w:r>
          </w:p>
        </w:tc>
      </w:tr>
      <w:tr w:rsidR="00353EEB" w14:paraId="346234FB" w14:textId="77777777" w:rsidTr="005D53FC">
        <w:trPr>
          <w:cantSplit/>
        </w:trPr>
        <w:tc>
          <w:tcPr>
            <w:tcW w:w="1869" w:type="dxa"/>
          </w:tcPr>
          <w:p w14:paraId="5F4C0F42" w14:textId="77777777" w:rsidR="00353EEB" w:rsidRDefault="00353EEB" w:rsidP="001B46F4">
            <w:pPr>
              <w:pStyle w:val="TableSideHeading"/>
            </w:pPr>
          </w:p>
        </w:tc>
        <w:tc>
          <w:tcPr>
            <w:tcW w:w="624" w:type="dxa"/>
          </w:tcPr>
          <w:p w14:paraId="03F24739" w14:textId="77777777" w:rsidR="00353EEB" w:rsidRDefault="00353EEB" w:rsidP="001B46F4">
            <w:pPr>
              <w:pStyle w:val="TableText"/>
            </w:pPr>
          </w:p>
        </w:tc>
        <w:tc>
          <w:tcPr>
            <w:tcW w:w="624" w:type="dxa"/>
          </w:tcPr>
          <w:p w14:paraId="00A30CEF" w14:textId="77777777" w:rsidR="00353EEB" w:rsidRDefault="00353EEB" w:rsidP="001B46F4">
            <w:pPr>
              <w:pStyle w:val="TableText"/>
            </w:pPr>
          </w:p>
        </w:tc>
        <w:tc>
          <w:tcPr>
            <w:tcW w:w="624" w:type="dxa"/>
          </w:tcPr>
          <w:p w14:paraId="0A33DB49" w14:textId="77777777" w:rsidR="00353EEB" w:rsidRDefault="00353EEB" w:rsidP="001B46F4">
            <w:pPr>
              <w:pStyle w:val="TableText"/>
            </w:pPr>
          </w:p>
        </w:tc>
        <w:tc>
          <w:tcPr>
            <w:tcW w:w="624" w:type="dxa"/>
          </w:tcPr>
          <w:p w14:paraId="02702451" w14:textId="77777777" w:rsidR="00353EEB" w:rsidRDefault="00353EEB" w:rsidP="001B46F4">
            <w:pPr>
              <w:pStyle w:val="TableText"/>
            </w:pPr>
          </w:p>
        </w:tc>
        <w:tc>
          <w:tcPr>
            <w:tcW w:w="624" w:type="dxa"/>
          </w:tcPr>
          <w:p w14:paraId="232DD729" w14:textId="77777777" w:rsidR="00353EEB" w:rsidRDefault="00353EEB" w:rsidP="001B46F4">
            <w:pPr>
              <w:pStyle w:val="TableText"/>
            </w:pPr>
          </w:p>
        </w:tc>
        <w:tc>
          <w:tcPr>
            <w:tcW w:w="624" w:type="dxa"/>
          </w:tcPr>
          <w:p w14:paraId="30A403AC" w14:textId="77777777" w:rsidR="00353EEB" w:rsidRDefault="00353EEB" w:rsidP="001B46F4">
            <w:pPr>
              <w:pStyle w:val="TableText"/>
            </w:pPr>
          </w:p>
        </w:tc>
        <w:tc>
          <w:tcPr>
            <w:tcW w:w="4025" w:type="dxa"/>
            <w:gridSpan w:val="2"/>
          </w:tcPr>
          <w:p w14:paraId="1F2DA00F" w14:textId="5DF53503" w:rsidR="00353EEB" w:rsidRDefault="00353EEB" w:rsidP="00F718E5">
            <w:pPr>
              <w:pStyle w:val="TableBlock"/>
            </w:pPr>
            <w:r>
              <w:rPr>
                <w:rFonts w:hint="cs"/>
                <w:rtl/>
              </w:rPr>
              <w:t>(1)</w:t>
            </w:r>
            <w:r>
              <w:rPr>
                <w:rtl/>
              </w:rPr>
              <w:tab/>
            </w:r>
            <w:r w:rsidRPr="002B5B60">
              <w:rPr>
                <w:rtl/>
              </w:rPr>
              <w:t>במקרה שבו הפיקוח האלקטרוני כולל התקנת אמצעי פיקוח על בן המשפחה המוגן – בן המשפחה המוגן אישר הסכמתו לת</w:t>
            </w:r>
            <w:r>
              <w:rPr>
                <w:rtl/>
              </w:rPr>
              <w:t>ו</w:t>
            </w:r>
            <w:r w:rsidRPr="002B5B60">
              <w:rPr>
                <w:rtl/>
              </w:rPr>
              <w:t>כנית הפיקוח, לאחר שקיבל הסבר על התוכנית, בהתאם לטופס ש</w:t>
            </w:r>
            <w:r w:rsidR="00F718E5">
              <w:rPr>
                <w:rFonts w:hint="cs"/>
                <w:rtl/>
              </w:rPr>
              <w:t>נ</w:t>
            </w:r>
            <w:r w:rsidRPr="002B5B60">
              <w:rPr>
                <w:rtl/>
              </w:rPr>
              <w:t xml:space="preserve">קבע על </w:t>
            </w:r>
            <w:r>
              <w:rPr>
                <w:rtl/>
              </w:rPr>
              <w:t>יד</w:t>
            </w:r>
            <w:r w:rsidRPr="002B5B60">
              <w:rPr>
                <w:rtl/>
              </w:rPr>
              <w:t xml:space="preserve">י השר </w:t>
            </w:r>
            <w:r>
              <w:rPr>
                <w:rtl/>
              </w:rPr>
              <w:t>לב</w:t>
            </w:r>
            <w:r>
              <w:rPr>
                <w:rFonts w:hint="cs"/>
                <w:rtl/>
              </w:rPr>
              <w:t>י</w:t>
            </w:r>
            <w:r>
              <w:rPr>
                <w:rtl/>
              </w:rPr>
              <w:t xml:space="preserve">טחון </w:t>
            </w:r>
            <w:r w:rsidR="009A73A5">
              <w:rPr>
                <w:rFonts w:hint="cs"/>
                <w:rtl/>
              </w:rPr>
              <w:t>ה</w:t>
            </w:r>
            <w:r>
              <w:rPr>
                <w:rtl/>
              </w:rPr>
              <w:t xml:space="preserve">פנים </w:t>
            </w:r>
            <w:r w:rsidRPr="002B5B60">
              <w:rPr>
                <w:rtl/>
              </w:rPr>
              <w:t>בתקנות</w:t>
            </w:r>
            <w:r>
              <w:rPr>
                <w:rtl/>
              </w:rPr>
              <w:t>;</w:t>
            </w:r>
          </w:p>
        </w:tc>
      </w:tr>
      <w:tr w:rsidR="00353EEB" w14:paraId="705D7065" w14:textId="77777777" w:rsidTr="005D53FC">
        <w:trPr>
          <w:cantSplit/>
        </w:trPr>
        <w:tc>
          <w:tcPr>
            <w:tcW w:w="1869" w:type="dxa"/>
          </w:tcPr>
          <w:p w14:paraId="369754FE" w14:textId="77777777" w:rsidR="00353EEB" w:rsidRDefault="00353EEB" w:rsidP="001B46F4">
            <w:pPr>
              <w:pStyle w:val="TableSideHeading"/>
            </w:pPr>
          </w:p>
        </w:tc>
        <w:tc>
          <w:tcPr>
            <w:tcW w:w="624" w:type="dxa"/>
          </w:tcPr>
          <w:p w14:paraId="66A46143" w14:textId="77777777" w:rsidR="00353EEB" w:rsidRDefault="00353EEB" w:rsidP="001B46F4">
            <w:pPr>
              <w:pStyle w:val="TableText"/>
            </w:pPr>
          </w:p>
        </w:tc>
        <w:tc>
          <w:tcPr>
            <w:tcW w:w="624" w:type="dxa"/>
          </w:tcPr>
          <w:p w14:paraId="4B342659" w14:textId="77777777" w:rsidR="00353EEB" w:rsidRDefault="00353EEB" w:rsidP="001B46F4">
            <w:pPr>
              <w:pStyle w:val="TableText"/>
            </w:pPr>
          </w:p>
        </w:tc>
        <w:tc>
          <w:tcPr>
            <w:tcW w:w="624" w:type="dxa"/>
          </w:tcPr>
          <w:p w14:paraId="2AB00A76" w14:textId="77777777" w:rsidR="00353EEB" w:rsidRDefault="00353EEB" w:rsidP="001B46F4">
            <w:pPr>
              <w:pStyle w:val="TableText"/>
            </w:pPr>
          </w:p>
        </w:tc>
        <w:tc>
          <w:tcPr>
            <w:tcW w:w="624" w:type="dxa"/>
          </w:tcPr>
          <w:p w14:paraId="3E8E1A72" w14:textId="77777777" w:rsidR="00353EEB" w:rsidRDefault="00353EEB" w:rsidP="001B46F4">
            <w:pPr>
              <w:pStyle w:val="TableText"/>
            </w:pPr>
          </w:p>
        </w:tc>
        <w:tc>
          <w:tcPr>
            <w:tcW w:w="624" w:type="dxa"/>
          </w:tcPr>
          <w:p w14:paraId="6C996F7D" w14:textId="77777777" w:rsidR="00353EEB" w:rsidRDefault="00353EEB" w:rsidP="001B46F4">
            <w:pPr>
              <w:pStyle w:val="TableText"/>
            </w:pPr>
          </w:p>
        </w:tc>
        <w:tc>
          <w:tcPr>
            <w:tcW w:w="624" w:type="dxa"/>
          </w:tcPr>
          <w:p w14:paraId="5556F3B6" w14:textId="77777777" w:rsidR="00353EEB" w:rsidRDefault="00353EEB" w:rsidP="001B46F4">
            <w:pPr>
              <w:pStyle w:val="TableText"/>
            </w:pPr>
          </w:p>
        </w:tc>
        <w:tc>
          <w:tcPr>
            <w:tcW w:w="4025" w:type="dxa"/>
            <w:gridSpan w:val="2"/>
          </w:tcPr>
          <w:p w14:paraId="03D07D24" w14:textId="683F44BF" w:rsidR="00353EEB" w:rsidRDefault="00353EEB" w:rsidP="00711C10">
            <w:pPr>
              <w:pStyle w:val="TableBlock"/>
              <w:rPr>
                <w:rtl/>
              </w:rPr>
            </w:pPr>
            <w:r>
              <w:rPr>
                <w:rFonts w:hint="cs"/>
                <w:rtl/>
              </w:rPr>
              <w:t>(2)</w:t>
            </w:r>
            <w:r>
              <w:rPr>
                <w:rtl/>
              </w:rPr>
              <w:tab/>
            </w:r>
            <w:r w:rsidRPr="005320CF">
              <w:rPr>
                <w:rtl/>
              </w:rPr>
              <w:t>בית המשפט קיבל דיווח מהממונה</w:t>
            </w:r>
            <w:r w:rsidR="00F32514">
              <w:rPr>
                <w:rFonts w:hint="cs"/>
                <w:rtl/>
              </w:rPr>
              <w:t xml:space="preserve"> לפי סעיף 3א4</w:t>
            </w:r>
            <w:r w:rsidRPr="005320CF">
              <w:rPr>
                <w:rtl/>
              </w:rPr>
              <w:t>, או מי מטעמו, כי התקיימו כל אלה:</w:t>
            </w:r>
          </w:p>
        </w:tc>
      </w:tr>
      <w:tr w:rsidR="00353EEB" w14:paraId="317447F9" w14:textId="77777777" w:rsidTr="005D53FC">
        <w:trPr>
          <w:cantSplit/>
        </w:trPr>
        <w:tc>
          <w:tcPr>
            <w:tcW w:w="1869" w:type="dxa"/>
          </w:tcPr>
          <w:p w14:paraId="4BADB3DF" w14:textId="77777777" w:rsidR="00353EEB" w:rsidRDefault="00353EEB" w:rsidP="001B46F4">
            <w:pPr>
              <w:pStyle w:val="TableSideHeading"/>
            </w:pPr>
          </w:p>
        </w:tc>
        <w:tc>
          <w:tcPr>
            <w:tcW w:w="624" w:type="dxa"/>
          </w:tcPr>
          <w:p w14:paraId="61DA627A" w14:textId="77777777" w:rsidR="00353EEB" w:rsidRDefault="00353EEB" w:rsidP="001B46F4">
            <w:pPr>
              <w:pStyle w:val="TableText"/>
            </w:pPr>
          </w:p>
        </w:tc>
        <w:tc>
          <w:tcPr>
            <w:tcW w:w="624" w:type="dxa"/>
          </w:tcPr>
          <w:p w14:paraId="1200D4D0" w14:textId="77777777" w:rsidR="00353EEB" w:rsidRDefault="00353EEB" w:rsidP="001B46F4">
            <w:pPr>
              <w:pStyle w:val="TableText"/>
            </w:pPr>
          </w:p>
        </w:tc>
        <w:tc>
          <w:tcPr>
            <w:tcW w:w="624" w:type="dxa"/>
          </w:tcPr>
          <w:p w14:paraId="44F0F805" w14:textId="77777777" w:rsidR="00353EEB" w:rsidRDefault="00353EEB" w:rsidP="001B46F4">
            <w:pPr>
              <w:pStyle w:val="TableText"/>
            </w:pPr>
          </w:p>
        </w:tc>
        <w:tc>
          <w:tcPr>
            <w:tcW w:w="624" w:type="dxa"/>
          </w:tcPr>
          <w:p w14:paraId="6B67A417" w14:textId="77777777" w:rsidR="00353EEB" w:rsidRDefault="00353EEB" w:rsidP="001B46F4">
            <w:pPr>
              <w:pStyle w:val="TableText"/>
            </w:pPr>
          </w:p>
        </w:tc>
        <w:tc>
          <w:tcPr>
            <w:tcW w:w="624" w:type="dxa"/>
          </w:tcPr>
          <w:p w14:paraId="020F031D" w14:textId="77777777" w:rsidR="00353EEB" w:rsidRDefault="00353EEB" w:rsidP="001B46F4">
            <w:pPr>
              <w:pStyle w:val="TableText"/>
            </w:pPr>
          </w:p>
        </w:tc>
        <w:tc>
          <w:tcPr>
            <w:tcW w:w="624" w:type="dxa"/>
          </w:tcPr>
          <w:p w14:paraId="14F733A6" w14:textId="77777777" w:rsidR="00353EEB" w:rsidRDefault="00353EEB" w:rsidP="001B46F4">
            <w:pPr>
              <w:pStyle w:val="TableText"/>
            </w:pPr>
          </w:p>
        </w:tc>
        <w:tc>
          <w:tcPr>
            <w:tcW w:w="624" w:type="dxa"/>
          </w:tcPr>
          <w:p w14:paraId="6A851F0D" w14:textId="77777777" w:rsidR="00353EEB" w:rsidRDefault="00353EEB" w:rsidP="001B46F4">
            <w:pPr>
              <w:pStyle w:val="TableText"/>
            </w:pPr>
          </w:p>
        </w:tc>
        <w:tc>
          <w:tcPr>
            <w:tcW w:w="3401" w:type="dxa"/>
          </w:tcPr>
          <w:p w14:paraId="10052BF6" w14:textId="77777777" w:rsidR="00353EEB" w:rsidRDefault="00353EEB" w:rsidP="00711C10">
            <w:pPr>
              <w:pStyle w:val="TableBlock"/>
            </w:pPr>
            <w:r>
              <w:rPr>
                <w:color w:val="auto"/>
                <w:rtl/>
              </w:rPr>
              <w:t>(א)</w:t>
            </w:r>
            <w:r>
              <w:rPr>
                <w:color w:val="auto"/>
                <w:rtl/>
              </w:rPr>
              <w:tab/>
            </w:r>
            <w:r w:rsidRPr="002B5B60">
              <w:rPr>
                <w:color w:val="auto"/>
                <w:rtl/>
              </w:rPr>
              <w:t>כי אזור הפיקוח מאפשר פיקוח אלקטרוני</w:t>
            </w:r>
            <w:r>
              <w:rPr>
                <w:color w:val="auto"/>
                <w:rtl/>
              </w:rPr>
              <w:t>;</w:t>
            </w:r>
          </w:p>
        </w:tc>
      </w:tr>
      <w:tr w:rsidR="00353EEB" w14:paraId="0D8AE669" w14:textId="77777777" w:rsidTr="005D53FC">
        <w:trPr>
          <w:cantSplit/>
        </w:trPr>
        <w:tc>
          <w:tcPr>
            <w:tcW w:w="1869" w:type="dxa"/>
          </w:tcPr>
          <w:p w14:paraId="54F9D97F" w14:textId="77777777" w:rsidR="00353EEB" w:rsidRDefault="00353EEB" w:rsidP="001B46F4">
            <w:pPr>
              <w:pStyle w:val="TableSideHeading"/>
            </w:pPr>
          </w:p>
        </w:tc>
        <w:tc>
          <w:tcPr>
            <w:tcW w:w="624" w:type="dxa"/>
          </w:tcPr>
          <w:p w14:paraId="1019C644" w14:textId="77777777" w:rsidR="00353EEB" w:rsidRDefault="00353EEB" w:rsidP="001B46F4">
            <w:pPr>
              <w:pStyle w:val="TableText"/>
            </w:pPr>
          </w:p>
        </w:tc>
        <w:tc>
          <w:tcPr>
            <w:tcW w:w="624" w:type="dxa"/>
          </w:tcPr>
          <w:p w14:paraId="47D7CC1C" w14:textId="77777777" w:rsidR="00353EEB" w:rsidRDefault="00353EEB" w:rsidP="001B46F4">
            <w:pPr>
              <w:pStyle w:val="TableText"/>
            </w:pPr>
          </w:p>
        </w:tc>
        <w:tc>
          <w:tcPr>
            <w:tcW w:w="624" w:type="dxa"/>
          </w:tcPr>
          <w:p w14:paraId="3CBE2ADC" w14:textId="77777777" w:rsidR="00353EEB" w:rsidRDefault="00353EEB" w:rsidP="001B46F4">
            <w:pPr>
              <w:pStyle w:val="TableText"/>
            </w:pPr>
          </w:p>
        </w:tc>
        <w:tc>
          <w:tcPr>
            <w:tcW w:w="624" w:type="dxa"/>
          </w:tcPr>
          <w:p w14:paraId="667F07D8" w14:textId="77777777" w:rsidR="00353EEB" w:rsidRDefault="00353EEB" w:rsidP="001B46F4">
            <w:pPr>
              <w:pStyle w:val="TableText"/>
            </w:pPr>
          </w:p>
        </w:tc>
        <w:tc>
          <w:tcPr>
            <w:tcW w:w="624" w:type="dxa"/>
          </w:tcPr>
          <w:p w14:paraId="325CE613" w14:textId="77777777" w:rsidR="00353EEB" w:rsidRDefault="00353EEB" w:rsidP="001B46F4">
            <w:pPr>
              <w:pStyle w:val="TableText"/>
            </w:pPr>
          </w:p>
        </w:tc>
        <w:tc>
          <w:tcPr>
            <w:tcW w:w="624" w:type="dxa"/>
          </w:tcPr>
          <w:p w14:paraId="30F3435D" w14:textId="77777777" w:rsidR="00353EEB" w:rsidRDefault="00353EEB" w:rsidP="001B46F4">
            <w:pPr>
              <w:pStyle w:val="TableText"/>
            </w:pPr>
          </w:p>
        </w:tc>
        <w:tc>
          <w:tcPr>
            <w:tcW w:w="624" w:type="dxa"/>
          </w:tcPr>
          <w:p w14:paraId="7F6C262A" w14:textId="77777777" w:rsidR="00353EEB" w:rsidRDefault="00353EEB" w:rsidP="001B46F4">
            <w:pPr>
              <w:pStyle w:val="TableText"/>
            </w:pPr>
          </w:p>
        </w:tc>
        <w:tc>
          <w:tcPr>
            <w:tcW w:w="3401" w:type="dxa"/>
          </w:tcPr>
          <w:p w14:paraId="73012239" w14:textId="77777777" w:rsidR="00353EEB" w:rsidRDefault="00353EEB" w:rsidP="00711C10">
            <w:pPr>
              <w:pStyle w:val="TableBlock"/>
            </w:pPr>
            <w:r>
              <w:rPr>
                <w:color w:val="auto"/>
                <w:rtl/>
              </w:rPr>
              <w:t xml:space="preserve">(ב) </w:t>
            </w:r>
            <w:r w:rsidRPr="005320CF">
              <w:rPr>
                <w:color w:val="auto"/>
                <w:rtl/>
              </w:rPr>
              <w:t xml:space="preserve">כי צו הגנה בתנאי פיקוח אלקטרוני עומד במכסת מספר המפוקחים שנקבעה על ידי השר כאמור בסעיף </w:t>
            </w:r>
            <w:r>
              <w:rPr>
                <w:color w:val="auto"/>
                <w:rtl/>
              </w:rPr>
              <w:t>3א2.</w:t>
            </w:r>
          </w:p>
        </w:tc>
      </w:tr>
      <w:tr w:rsidR="00353EEB" w14:paraId="45B962E3" w14:textId="77777777" w:rsidTr="005D53FC">
        <w:trPr>
          <w:cantSplit/>
        </w:trPr>
        <w:tc>
          <w:tcPr>
            <w:tcW w:w="1869" w:type="dxa"/>
          </w:tcPr>
          <w:p w14:paraId="24B60DCF" w14:textId="77777777" w:rsidR="00353EEB" w:rsidRDefault="00353EEB" w:rsidP="001B46F4">
            <w:pPr>
              <w:pStyle w:val="TableSideHeading"/>
              <w:keepLines w:val="0"/>
            </w:pPr>
          </w:p>
        </w:tc>
        <w:tc>
          <w:tcPr>
            <w:tcW w:w="624" w:type="dxa"/>
          </w:tcPr>
          <w:p w14:paraId="773C727F" w14:textId="77777777" w:rsidR="00353EEB" w:rsidRDefault="00353EEB" w:rsidP="001B46F4">
            <w:pPr>
              <w:pStyle w:val="TableText"/>
              <w:keepLines w:val="0"/>
            </w:pPr>
          </w:p>
        </w:tc>
        <w:tc>
          <w:tcPr>
            <w:tcW w:w="1872" w:type="dxa"/>
            <w:gridSpan w:val="3"/>
          </w:tcPr>
          <w:p w14:paraId="65016A18" w14:textId="77777777" w:rsidR="00353EEB" w:rsidRDefault="00353EEB" w:rsidP="001B46F4">
            <w:pPr>
              <w:pStyle w:val="TableInnerSideHeading"/>
            </w:pPr>
          </w:p>
        </w:tc>
        <w:tc>
          <w:tcPr>
            <w:tcW w:w="624" w:type="dxa"/>
          </w:tcPr>
          <w:p w14:paraId="02501395" w14:textId="77777777" w:rsidR="00353EEB" w:rsidRDefault="00353EEB" w:rsidP="001B46F4">
            <w:pPr>
              <w:pStyle w:val="TableText"/>
            </w:pPr>
          </w:p>
        </w:tc>
        <w:tc>
          <w:tcPr>
            <w:tcW w:w="4649" w:type="dxa"/>
            <w:gridSpan w:val="3"/>
          </w:tcPr>
          <w:p w14:paraId="550BEE14" w14:textId="77777777" w:rsidR="00353EEB" w:rsidRDefault="00353EEB" w:rsidP="00711C10">
            <w:pPr>
              <w:pStyle w:val="TableBlock"/>
            </w:pPr>
            <w:r>
              <w:rPr>
                <w:rFonts w:hint="cs"/>
                <w:rtl/>
              </w:rPr>
              <w:t>(ג)</w:t>
            </w:r>
            <w:r>
              <w:rPr>
                <w:rtl/>
              </w:rPr>
              <w:tab/>
              <w:t>ערעור על ההחלטה כאמור בסעיף 3א1(א) יוגש על ידי מי מהצדדים או באי כוחם; החלטת בית המשפט בערעור תינתן בתוך 7 ימים מיום הגשתו.</w:t>
            </w:r>
          </w:p>
        </w:tc>
      </w:tr>
      <w:tr w:rsidR="00353EEB" w14:paraId="684116EF" w14:textId="77777777" w:rsidTr="005D53FC">
        <w:trPr>
          <w:cantSplit/>
        </w:trPr>
        <w:tc>
          <w:tcPr>
            <w:tcW w:w="1869" w:type="dxa"/>
          </w:tcPr>
          <w:p w14:paraId="74138557" w14:textId="77777777" w:rsidR="00353EEB" w:rsidRDefault="00353EEB" w:rsidP="001B46F4">
            <w:pPr>
              <w:pStyle w:val="TableSideHeading"/>
              <w:keepLines w:val="0"/>
            </w:pPr>
          </w:p>
        </w:tc>
        <w:tc>
          <w:tcPr>
            <w:tcW w:w="624" w:type="dxa"/>
          </w:tcPr>
          <w:p w14:paraId="2BEF4382" w14:textId="77777777" w:rsidR="00353EEB" w:rsidRDefault="00353EEB" w:rsidP="001B46F4">
            <w:pPr>
              <w:pStyle w:val="TableText"/>
              <w:keepLines w:val="0"/>
            </w:pPr>
          </w:p>
        </w:tc>
        <w:tc>
          <w:tcPr>
            <w:tcW w:w="1872" w:type="dxa"/>
            <w:gridSpan w:val="3"/>
          </w:tcPr>
          <w:p w14:paraId="14FD9118" w14:textId="77777777" w:rsidR="00353EEB" w:rsidRDefault="00353EEB" w:rsidP="001B46F4">
            <w:pPr>
              <w:pStyle w:val="TableInnerSideHeading"/>
            </w:pPr>
          </w:p>
        </w:tc>
        <w:tc>
          <w:tcPr>
            <w:tcW w:w="624" w:type="dxa"/>
          </w:tcPr>
          <w:p w14:paraId="5EB40867" w14:textId="77777777" w:rsidR="00353EEB" w:rsidRDefault="00353EEB" w:rsidP="001B46F4">
            <w:pPr>
              <w:pStyle w:val="TableText"/>
            </w:pPr>
          </w:p>
        </w:tc>
        <w:tc>
          <w:tcPr>
            <w:tcW w:w="4649" w:type="dxa"/>
            <w:gridSpan w:val="3"/>
          </w:tcPr>
          <w:p w14:paraId="3BB34A95" w14:textId="74EA31C2" w:rsidR="00353EEB" w:rsidRDefault="00353EEB" w:rsidP="00711C10">
            <w:pPr>
              <w:pStyle w:val="TableBlock"/>
            </w:pPr>
            <w:r>
              <w:rPr>
                <w:rFonts w:hint="cs"/>
                <w:rtl/>
              </w:rPr>
              <w:t>(ד)</w:t>
            </w:r>
            <w:r>
              <w:rPr>
                <w:rtl/>
              </w:rPr>
              <w:tab/>
            </w:r>
            <w:r w:rsidRPr="001560D0">
              <w:rPr>
                <w:rtl/>
              </w:rPr>
              <w:t>לא י</w:t>
            </w:r>
            <w:r>
              <w:rPr>
                <w:rFonts w:hint="cs"/>
                <w:rtl/>
              </w:rPr>
              <w:t>י</w:t>
            </w:r>
            <w:r w:rsidRPr="001560D0">
              <w:rPr>
                <w:rtl/>
              </w:rPr>
              <w:t xml:space="preserve">נתן צו הגנה בתנאי פיקוח אלקטרוני כנגד קטין, וכן לא יותקן אמצעי פיקוח אלקטרוני על קטין, כאשר </w:t>
            </w:r>
            <w:r w:rsidR="001C31B5">
              <w:rPr>
                <w:rFonts w:hint="cs"/>
                <w:rtl/>
              </w:rPr>
              <w:t>זה</w:t>
            </w:r>
            <w:r w:rsidRPr="001560D0">
              <w:rPr>
                <w:rtl/>
              </w:rPr>
              <w:t xml:space="preserve"> עונה להגדרת בן משפחה מוגן.</w:t>
            </w:r>
          </w:p>
        </w:tc>
      </w:tr>
      <w:tr w:rsidR="00353EEB" w14:paraId="5988E5D4" w14:textId="77777777" w:rsidTr="005D53FC">
        <w:trPr>
          <w:cantSplit/>
        </w:trPr>
        <w:tc>
          <w:tcPr>
            <w:tcW w:w="1869" w:type="dxa"/>
          </w:tcPr>
          <w:p w14:paraId="2419C2BE" w14:textId="77777777" w:rsidR="00353EEB" w:rsidRDefault="00353EEB" w:rsidP="001B46F4">
            <w:pPr>
              <w:pStyle w:val="TableSideHeading"/>
              <w:keepLines w:val="0"/>
            </w:pPr>
          </w:p>
        </w:tc>
        <w:tc>
          <w:tcPr>
            <w:tcW w:w="624" w:type="dxa"/>
          </w:tcPr>
          <w:p w14:paraId="0B50A66E" w14:textId="77777777" w:rsidR="00353EEB" w:rsidRDefault="00353EEB" w:rsidP="001B46F4">
            <w:pPr>
              <w:pStyle w:val="TableText"/>
              <w:keepLines w:val="0"/>
            </w:pPr>
          </w:p>
        </w:tc>
        <w:tc>
          <w:tcPr>
            <w:tcW w:w="1872" w:type="dxa"/>
            <w:gridSpan w:val="3"/>
          </w:tcPr>
          <w:p w14:paraId="300D6E4D" w14:textId="77777777" w:rsidR="00353EEB" w:rsidRDefault="00353EEB" w:rsidP="001B46F4">
            <w:pPr>
              <w:pStyle w:val="TableInnerSideHeading"/>
            </w:pPr>
            <w:r w:rsidRPr="002B5B60">
              <w:rPr>
                <w:rtl/>
              </w:rPr>
              <w:t>מכסה ל</w:t>
            </w:r>
            <w:r>
              <w:rPr>
                <w:rtl/>
              </w:rPr>
              <w:t>מפוקחים ב</w:t>
            </w:r>
            <w:r w:rsidRPr="002B5B60">
              <w:rPr>
                <w:rtl/>
              </w:rPr>
              <w:t>פיקוח אלקטרוני</w:t>
            </w:r>
          </w:p>
        </w:tc>
        <w:tc>
          <w:tcPr>
            <w:tcW w:w="624" w:type="dxa"/>
          </w:tcPr>
          <w:p w14:paraId="0E4D5D7D" w14:textId="77777777" w:rsidR="00353EEB" w:rsidRDefault="00353EEB" w:rsidP="001B46F4">
            <w:pPr>
              <w:pStyle w:val="TableText"/>
            </w:pPr>
            <w:r>
              <w:rPr>
                <w:rFonts w:hint="cs"/>
                <w:rtl/>
              </w:rPr>
              <w:t xml:space="preserve">3א2. </w:t>
            </w:r>
          </w:p>
        </w:tc>
        <w:tc>
          <w:tcPr>
            <w:tcW w:w="4649" w:type="dxa"/>
            <w:gridSpan w:val="3"/>
          </w:tcPr>
          <w:p w14:paraId="49082BE6" w14:textId="0B4E9D39" w:rsidR="00353EEB" w:rsidRDefault="00353EEB" w:rsidP="00711C10">
            <w:pPr>
              <w:pStyle w:val="TableBlock"/>
            </w:pPr>
            <w:r w:rsidRPr="002B5B60">
              <w:rPr>
                <w:rtl/>
              </w:rPr>
              <w:t>השר</w:t>
            </w:r>
            <w:r>
              <w:rPr>
                <w:rtl/>
              </w:rPr>
              <w:t xml:space="preserve"> לב</w:t>
            </w:r>
            <w:r w:rsidR="002F4220">
              <w:rPr>
                <w:rFonts w:hint="cs"/>
                <w:rtl/>
              </w:rPr>
              <w:t>י</w:t>
            </w:r>
            <w:r>
              <w:rPr>
                <w:rtl/>
              </w:rPr>
              <w:t xml:space="preserve">טחון </w:t>
            </w:r>
            <w:r w:rsidR="009A73A5">
              <w:rPr>
                <w:rFonts w:hint="cs"/>
                <w:rtl/>
              </w:rPr>
              <w:t>ה</w:t>
            </w:r>
            <w:r>
              <w:rPr>
                <w:rtl/>
              </w:rPr>
              <w:t>פנים</w:t>
            </w:r>
            <w:r w:rsidRPr="002B5B60">
              <w:rPr>
                <w:rtl/>
              </w:rPr>
              <w:t>, בהסכמת שר האוצר</w:t>
            </w:r>
            <w:r w:rsidR="003016B1">
              <w:rPr>
                <w:rtl/>
              </w:rPr>
              <w:t xml:space="preserve"> ובהתייעצות עם שר המשפטים, יקבע בצו</w:t>
            </w:r>
            <w:r w:rsidRPr="002B5B60">
              <w:rPr>
                <w:rtl/>
              </w:rPr>
              <w:t xml:space="preserve"> מספר מרבי של מפוקחים שניתן לפקח עליהם בו-זמנית בפיקוח אלקטרוני</w:t>
            </w:r>
            <w:r w:rsidR="00F32514">
              <w:rPr>
                <w:rFonts w:hint="cs"/>
                <w:rtl/>
              </w:rPr>
              <w:t>; צו כאמור יפורסם ברשומות.</w:t>
            </w:r>
          </w:p>
        </w:tc>
      </w:tr>
      <w:tr w:rsidR="00353EEB" w14:paraId="65E525F6" w14:textId="77777777" w:rsidTr="005D53FC">
        <w:trPr>
          <w:cantSplit/>
        </w:trPr>
        <w:tc>
          <w:tcPr>
            <w:tcW w:w="1869" w:type="dxa"/>
          </w:tcPr>
          <w:p w14:paraId="7C38D288" w14:textId="25A07FE1" w:rsidR="00353EEB" w:rsidRDefault="00353EEB" w:rsidP="001B46F4">
            <w:pPr>
              <w:pStyle w:val="TableSideHeading"/>
              <w:keepLines w:val="0"/>
            </w:pPr>
          </w:p>
        </w:tc>
        <w:tc>
          <w:tcPr>
            <w:tcW w:w="624" w:type="dxa"/>
          </w:tcPr>
          <w:p w14:paraId="2AF19A74" w14:textId="77777777" w:rsidR="00353EEB" w:rsidRDefault="00353EEB" w:rsidP="001B46F4">
            <w:pPr>
              <w:pStyle w:val="TableText"/>
              <w:keepLines w:val="0"/>
            </w:pPr>
          </w:p>
        </w:tc>
        <w:tc>
          <w:tcPr>
            <w:tcW w:w="1872" w:type="dxa"/>
            <w:gridSpan w:val="3"/>
          </w:tcPr>
          <w:p w14:paraId="11BF0F1D" w14:textId="77777777" w:rsidR="00353EEB" w:rsidRDefault="00353EEB" w:rsidP="001B46F4">
            <w:pPr>
              <w:pStyle w:val="TableInnerSideHeading"/>
            </w:pPr>
            <w:r w:rsidRPr="002B5B60">
              <w:rPr>
                <w:rtl/>
              </w:rPr>
              <w:t>תכנית הפיקוח</w:t>
            </w:r>
          </w:p>
        </w:tc>
        <w:tc>
          <w:tcPr>
            <w:tcW w:w="624" w:type="dxa"/>
          </w:tcPr>
          <w:p w14:paraId="69B37D23" w14:textId="77777777" w:rsidR="00353EEB" w:rsidRDefault="00353EEB" w:rsidP="001B46F4">
            <w:pPr>
              <w:pStyle w:val="TableText"/>
            </w:pPr>
            <w:r>
              <w:rPr>
                <w:rtl/>
              </w:rPr>
              <w:t>3א3</w:t>
            </w:r>
            <w:r w:rsidRPr="002B5B60">
              <w:rPr>
                <w:rtl/>
              </w:rPr>
              <w:t>.</w:t>
            </w:r>
          </w:p>
        </w:tc>
        <w:tc>
          <w:tcPr>
            <w:tcW w:w="4649" w:type="dxa"/>
            <w:gridSpan w:val="3"/>
          </w:tcPr>
          <w:p w14:paraId="25D48AFF" w14:textId="77777777" w:rsidR="00353EEB" w:rsidRDefault="00353EEB" w:rsidP="00711C10">
            <w:pPr>
              <w:pStyle w:val="TableBlock"/>
            </w:pPr>
            <w:r w:rsidRPr="002B5B60">
              <w:rPr>
                <w:rtl/>
              </w:rPr>
              <w:t>החליט בית המשפט על צו הגנה בתנאי פיקוח אלקטרוני, יפרט בהחלטתו את כל אלה (בחוק זה – תכנית הפיקוח):</w:t>
            </w:r>
          </w:p>
        </w:tc>
      </w:tr>
      <w:tr w:rsidR="00353EEB" w14:paraId="515EE6B9" w14:textId="77777777" w:rsidTr="005D53FC">
        <w:trPr>
          <w:cantSplit/>
        </w:trPr>
        <w:tc>
          <w:tcPr>
            <w:tcW w:w="1869" w:type="dxa"/>
          </w:tcPr>
          <w:p w14:paraId="22EE3997" w14:textId="77777777" w:rsidR="00353EEB" w:rsidRDefault="00353EEB" w:rsidP="001B46F4">
            <w:pPr>
              <w:pStyle w:val="TableSideHeading"/>
            </w:pPr>
          </w:p>
        </w:tc>
        <w:tc>
          <w:tcPr>
            <w:tcW w:w="624" w:type="dxa"/>
          </w:tcPr>
          <w:p w14:paraId="28242CED" w14:textId="77777777" w:rsidR="00353EEB" w:rsidRDefault="00353EEB" w:rsidP="001B46F4">
            <w:pPr>
              <w:pStyle w:val="TableText"/>
            </w:pPr>
          </w:p>
        </w:tc>
        <w:tc>
          <w:tcPr>
            <w:tcW w:w="624" w:type="dxa"/>
          </w:tcPr>
          <w:p w14:paraId="0EDC3620" w14:textId="77777777" w:rsidR="00353EEB" w:rsidRDefault="00353EEB" w:rsidP="001B46F4">
            <w:pPr>
              <w:pStyle w:val="TableText"/>
            </w:pPr>
          </w:p>
        </w:tc>
        <w:tc>
          <w:tcPr>
            <w:tcW w:w="624" w:type="dxa"/>
          </w:tcPr>
          <w:p w14:paraId="31151BAE" w14:textId="77777777" w:rsidR="00353EEB" w:rsidRDefault="00353EEB" w:rsidP="001B46F4">
            <w:pPr>
              <w:pStyle w:val="TableText"/>
            </w:pPr>
          </w:p>
        </w:tc>
        <w:tc>
          <w:tcPr>
            <w:tcW w:w="624" w:type="dxa"/>
          </w:tcPr>
          <w:p w14:paraId="11D3A294" w14:textId="77777777" w:rsidR="00353EEB" w:rsidRDefault="00353EEB" w:rsidP="001B46F4">
            <w:pPr>
              <w:pStyle w:val="TableText"/>
            </w:pPr>
          </w:p>
        </w:tc>
        <w:tc>
          <w:tcPr>
            <w:tcW w:w="624" w:type="dxa"/>
          </w:tcPr>
          <w:p w14:paraId="7F10BC5D" w14:textId="77777777" w:rsidR="00353EEB" w:rsidRDefault="00353EEB" w:rsidP="001B46F4">
            <w:pPr>
              <w:pStyle w:val="TableText"/>
            </w:pPr>
          </w:p>
        </w:tc>
        <w:tc>
          <w:tcPr>
            <w:tcW w:w="624" w:type="dxa"/>
          </w:tcPr>
          <w:p w14:paraId="40172941" w14:textId="77777777" w:rsidR="00353EEB" w:rsidRDefault="00353EEB" w:rsidP="001B46F4">
            <w:pPr>
              <w:pStyle w:val="TableText"/>
            </w:pPr>
          </w:p>
        </w:tc>
        <w:tc>
          <w:tcPr>
            <w:tcW w:w="4025" w:type="dxa"/>
            <w:gridSpan w:val="2"/>
          </w:tcPr>
          <w:p w14:paraId="53968AFD" w14:textId="5412E789" w:rsidR="00353EEB" w:rsidRDefault="00353EEB" w:rsidP="009A73A5">
            <w:pPr>
              <w:pStyle w:val="TableBlock"/>
            </w:pPr>
            <w:r>
              <w:rPr>
                <w:rFonts w:hint="cs"/>
                <w:rtl/>
              </w:rPr>
              <w:t>(1)</w:t>
            </w:r>
            <w:r>
              <w:rPr>
                <w:rtl/>
              </w:rPr>
              <w:tab/>
            </w:r>
            <w:r w:rsidRPr="002B5B60">
              <w:rPr>
                <w:rtl/>
              </w:rPr>
              <w:t>אזור</w:t>
            </w:r>
            <w:r>
              <w:rPr>
                <w:rtl/>
              </w:rPr>
              <w:t xml:space="preserve"> </w:t>
            </w:r>
            <w:r w:rsidRPr="002B5B60">
              <w:rPr>
                <w:rtl/>
              </w:rPr>
              <w:t xml:space="preserve">הפיקוח הכולל </w:t>
            </w:r>
            <w:r>
              <w:rPr>
                <w:rtl/>
              </w:rPr>
              <w:t>את ה</w:t>
            </w:r>
            <w:r w:rsidRPr="002B5B60">
              <w:rPr>
                <w:rtl/>
              </w:rPr>
              <w:t>כתובת</w:t>
            </w:r>
            <w:r>
              <w:rPr>
                <w:rtl/>
              </w:rPr>
              <w:t xml:space="preserve"> או הכתובות</w:t>
            </w:r>
            <w:r w:rsidRPr="002B5B60">
              <w:rPr>
                <w:rtl/>
              </w:rPr>
              <w:t xml:space="preserve"> והמרחק שעל המפוקח לשמור מאות</w:t>
            </w:r>
            <w:r>
              <w:rPr>
                <w:rtl/>
              </w:rPr>
              <w:t>ן</w:t>
            </w:r>
            <w:r w:rsidRPr="002B5B60">
              <w:rPr>
                <w:rtl/>
              </w:rPr>
              <w:t xml:space="preserve"> כתוב</w:t>
            </w:r>
            <w:r>
              <w:rPr>
                <w:rtl/>
              </w:rPr>
              <w:t>ו</w:t>
            </w:r>
            <w:r w:rsidRPr="002B5B60">
              <w:rPr>
                <w:rtl/>
              </w:rPr>
              <w:t xml:space="preserve">ת </w:t>
            </w:r>
            <w:r w:rsidR="00F32514">
              <w:rPr>
                <w:rFonts w:hint="cs"/>
                <w:rtl/>
              </w:rPr>
              <w:t>או</w:t>
            </w:r>
            <w:r w:rsidRPr="002B5B60">
              <w:rPr>
                <w:rtl/>
              </w:rPr>
              <w:t xml:space="preserve"> זהות בן המשפחה המוגן והמרחק שעל המפוקח לשמור ממנו;</w:t>
            </w:r>
          </w:p>
        </w:tc>
      </w:tr>
      <w:tr w:rsidR="00353EEB" w14:paraId="5FD4B963" w14:textId="77777777" w:rsidTr="005D53FC">
        <w:trPr>
          <w:cantSplit/>
        </w:trPr>
        <w:tc>
          <w:tcPr>
            <w:tcW w:w="1869" w:type="dxa"/>
          </w:tcPr>
          <w:p w14:paraId="40C626BE" w14:textId="77777777" w:rsidR="00353EEB" w:rsidRDefault="00353EEB" w:rsidP="001B46F4">
            <w:pPr>
              <w:pStyle w:val="TableSideHeading"/>
            </w:pPr>
          </w:p>
        </w:tc>
        <w:tc>
          <w:tcPr>
            <w:tcW w:w="624" w:type="dxa"/>
          </w:tcPr>
          <w:p w14:paraId="0CC91135" w14:textId="77777777" w:rsidR="00353EEB" w:rsidRDefault="00353EEB" w:rsidP="001B46F4">
            <w:pPr>
              <w:pStyle w:val="TableText"/>
            </w:pPr>
          </w:p>
        </w:tc>
        <w:tc>
          <w:tcPr>
            <w:tcW w:w="624" w:type="dxa"/>
          </w:tcPr>
          <w:p w14:paraId="18A5CAFD" w14:textId="77777777" w:rsidR="00353EEB" w:rsidRDefault="00353EEB" w:rsidP="001B46F4">
            <w:pPr>
              <w:pStyle w:val="TableText"/>
            </w:pPr>
          </w:p>
        </w:tc>
        <w:tc>
          <w:tcPr>
            <w:tcW w:w="624" w:type="dxa"/>
          </w:tcPr>
          <w:p w14:paraId="2B69103F" w14:textId="77777777" w:rsidR="00353EEB" w:rsidRDefault="00353EEB" w:rsidP="001B46F4">
            <w:pPr>
              <w:pStyle w:val="TableText"/>
            </w:pPr>
          </w:p>
        </w:tc>
        <w:tc>
          <w:tcPr>
            <w:tcW w:w="624" w:type="dxa"/>
          </w:tcPr>
          <w:p w14:paraId="78A10D89" w14:textId="77777777" w:rsidR="00353EEB" w:rsidRDefault="00353EEB" w:rsidP="001B46F4">
            <w:pPr>
              <w:pStyle w:val="TableText"/>
            </w:pPr>
          </w:p>
        </w:tc>
        <w:tc>
          <w:tcPr>
            <w:tcW w:w="624" w:type="dxa"/>
          </w:tcPr>
          <w:p w14:paraId="55913A01" w14:textId="77777777" w:rsidR="00353EEB" w:rsidRDefault="00353EEB" w:rsidP="001B46F4">
            <w:pPr>
              <w:pStyle w:val="TableText"/>
            </w:pPr>
          </w:p>
        </w:tc>
        <w:tc>
          <w:tcPr>
            <w:tcW w:w="624" w:type="dxa"/>
          </w:tcPr>
          <w:p w14:paraId="3F6B0E4E" w14:textId="77777777" w:rsidR="00353EEB" w:rsidRDefault="00353EEB" w:rsidP="001B46F4">
            <w:pPr>
              <w:pStyle w:val="TableText"/>
            </w:pPr>
          </w:p>
        </w:tc>
        <w:tc>
          <w:tcPr>
            <w:tcW w:w="4025" w:type="dxa"/>
            <w:gridSpan w:val="2"/>
          </w:tcPr>
          <w:p w14:paraId="0910AD4B" w14:textId="14D4FBC0" w:rsidR="00353EEB" w:rsidRDefault="00353EEB" w:rsidP="00711C10">
            <w:pPr>
              <w:pStyle w:val="TableBlock"/>
            </w:pPr>
            <w:r>
              <w:rPr>
                <w:rFonts w:hint="cs"/>
                <w:rtl/>
              </w:rPr>
              <w:t>(2)</w:t>
            </w:r>
            <w:r>
              <w:rPr>
                <w:rtl/>
              </w:rPr>
              <w:tab/>
            </w:r>
            <w:r w:rsidR="002F4220">
              <w:rPr>
                <w:rtl/>
              </w:rPr>
              <w:t>אופי הפיקוח האלקטרוני</w:t>
            </w:r>
            <w:r w:rsidR="002F4220">
              <w:rPr>
                <w:rFonts w:hint="cs"/>
                <w:rtl/>
              </w:rPr>
              <w:t xml:space="preserve">, בין </w:t>
            </w:r>
            <w:r w:rsidRPr="002B5B60">
              <w:rPr>
                <w:rtl/>
              </w:rPr>
              <w:t>אם יתבצע על ידי ניטור המפוקח בלבד או על ידי ניטור הן של המפוקח והן של בן המשפחה המוגן;</w:t>
            </w:r>
          </w:p>
        </w:tc>
      </w:tr>
      <w:tr w:rsidR="00353EEB" w14:paraId="69664CAC" w14:textId="77777777" w:rsidTr="005D53FC">
        <w:trPr>
          <w:cantSplit/>
        </w:trPr>
        <w:tc>
          <w:tcPr>
            <w:tcW w:w="1869" w:type="dxa"/>
          </w:tcPr>
          <w:p w14:paraId="7ED8EC12" w14:textId="77777777" w:rsidR="00353EEB" w:rsidRDefault="00353EEB" w:rsidP="001B46F4">
            <w:pPr>
              <w:pStyle w:val="TableSideHeading"/>
            </w:pPr>
          </w:p>
        </w:tc>
        <w:tc>
          <w:tcPr>
            <w:tcW w:w="624" w:type="dxa"/>
          </w:tcPr>
          <w:p w14:paraId="62E557F6" w14:textId="77777777" w:rsidR="00353EEB" w:rsidRDefault="00353EEB" w:rsidP="001B46F4">
            <w:pPr>
              <w:pStyle w:val="TableText"/>
            </w:pPr>
          </w:p>
        </w:tc>
        <w:tc>
          <w:tcPr>
            <w:tcW w:w="624" w:type="dxa"/>
          </w:tcPr>
          <w:p w14:paraId="136C6817" w14:textId="77777777" w:rsidR="00353EEB" w:rsidRDefault="00353EEB" w:rsidP="001B46F4">
            <w:pPr>
              <w:pStyle w:val="TableText"/>
            </w:pPr>
          </w:p>
        </w:tc>
        <w:tc>
          <w:tcPr>
            <w:tcW w:w="624" w:type="dxa"/>
          </w:tcPr>
          <w:p w14:paraId="40E1E72A" w14:textId="77777777" w:rsidR="00353EEB" w:rsidRDefault="00353EEB" w:rsidP="001B46F4">
            <w:pPr>
              <w:pStyle w:val="TableText"/>
            </w:pPr>
          </w:p>
        </w:tc>
        <w:tc>
          <w:tcPr>
            <w:tcW w:w="624" w:type="dxa"/>
          </w:tcPr>
          <w:p w14:paraId="356E0190" w14:textId="77777777" w:rsidR="00353EEB" w:rsidRDefault="00353EEB" w:rsidP="001B46F4">
            <w:pPr>
              <w:pStyle w:val="TableText"/>
            </w:pPr>
          </w:p>
        </w:tc>
        <w:tc>
          <w:tcPr>
            <w:tcW w:w="624" w:type="dxa"/>
          </w:tcPr>
          <w:p w14:paraId="583EB9D8" w14:textId="77777777" w:rsidR="00353EEB" w:rsidRDefault="00353EEB" w:rsidP="001B46F4">
            <w:pPr>
              <w:pStyle w:val="TableText"/>
            </w:pPr>
          </w:p>
        </w:tc>
        <w:tc>
          <w:tcPr>
            <w:tcW w:w="624" w:type="dxa"/>
          </w:tcPr>
          <w:p w14:paraId="796C66B6" w14:textId="77777777" w:rsidR="00353EEB" w:rsidRDefault="00353EEB" w:rsidP="001B46F4">
            <w:pPr>
              <w:pStyle w:val="TableText"/>
            </w:pPr>
          </w:p>
        </w:tc>
        <w:tc>
          <w:tcPr>
            <w:tcW w:w="4025" w:type="dxa"/>
            <w:gridSpan w:val="2"/>
          </w:tcPr>
          <w:p w14:paraId="4EAD4CC0" w14:textId="77777777" w:rsidR="00353EEB" w:rsidRDefault="00353EEB" w:rsidP="00711C10">
            <w:pPr>
              <w:pStyle w:val="TableBlock"/>
            </w:pPr>
            <w:r>
              <w:rPr>
                <w:rFonts w:hint="cs"/>
                <w:rtl/>
              </w:rPr>
              <w:t>(3)</w:t>
            </w:r>
            <w:r>
              <w:rPr>
                <w:rtl/>
              </w:rPr>
              <w:tab/>
              <w:t>תקופת הפיקוח האלקטרוני;</w:t>
            </w:r>
          </w:p>
        </w:tc>
      </w:tr>
      <w:tr w:rsidR="00353EEB" w14:paraId="27EA31CD" w14:textId="77777777" w:rsidTr="005D53FC">
        <w:trPr>
          <w:cantSplit/>
        </w:trPr>
        <w:tc>
          <w:tcPr>
            <w:tcW w:w="1869" w:type="dxa"/>
          </w:tcPr>
          <w:p w14:paraId="1498440B" w14:textId="77777777" w:rsidR="00353EEB" w:rsidRDefault="00353EEB" w:rsidP="001B46F4">
            <w:pPr>
              <w:pStyle w:val="TableSideHeading"/>
            </w:pPr>
          </w:p>
        </w:tc>
        <w:tc>
          <w:tcPr>
            <w:tcW w:w="624" w:type="dxa"/>
          </w:tcPr>
          <w:p w14:paraId="30772081" w14:textId="77777777" w:rsidR="00353EEB" w:rsidRDefault="00353EEB" w:rsidP="001B46F4">
            <w:pPr>
              <w:pStyle w:val="TableText"/>
            </w:pPr>
          </w:p>
        </w:tc>
        <w:tc>
          <w:tcPr>
            <w:tcW w:w="624" w:type="dxa"/>
          </w:tcPr>
          <w:p w14:paraId="6526CBC7" w14:textId="77777777" w:rsidR="00353EEB" w:rsidRDefault="00353EEB" w:rsidP="001B46F4">
            <w:pPr>
              <w:pStyle w:val="TableText"/>
            </w:pPr>
          </w:p>
        </w:tc>
        <w:tc>
          <w:tcPr>
            <w:tcW w:w="624" w:type="dxa"/>
          </w:tcPr>
          <w:p w14:paraId="1C64861C" w14:textId="77777777" w:rsidR="00353EEB" w:rsidRDefault="00353EEB" w:rsidP="001B46F4">
            <w:pPr>
              <w:pStyle w:val="TableText"/>
            </w:pPr>
          </w:p>
        </w:tc>
        <w:tc>
          <w:tcPr>
            <w:tcW w:w="624" w:type="dxa"/>
          </w:tcPr>
          <w:p w14:paraId="57799A77" w14:textId="77777777" w:rsidR="00353EEB" w:rsidRDefault="00353EEB" w:rsidP="001B46F4">
            <w:pPr>
              <w:pStyle w:val="TableText"/>
            </w:pPr>
          </w:p>
        </w:tc>
        <w:tc>
          <w:tcPr>
            <w:tcW w:w="624" w:type="dxa"/>
          </w:tcPr>
          <w:p w14:paraId="6F27AD35" w14:textId="77777777" w:rsidR="00353EEB" w:rsidRDefault="00353EEB" w:rsidP="001B46F4">
            <w:pPr>
              <w:pStyle w:val="TableText"/>
            </w:pPr>
          </w:p>
        </w:tc>
        <w:tc>
          <w:tcPr>
            <w:tcW w:w="624" w:type="dxa"/>
          </w:tcPr>
          <w:p w14:paraId="602CAC42" w14:textId="77777777" w:rsidR="00353EEB" w:rsidRDefault="00353EEB" w:rsidP="001B46F4">
            <w:pPr>
              <w:pStyle w:val="TableText"/>
            </w:pPr>
          </w:p>
        </w:tc>
        <w:tc>
          <w:tcPr>
            <w:tcW w:w="4025" w:type="dxa"/>
            <w:gridSpan w:val="2"/>
          </w:tcPr>
          <w:p w14:paraId="2CD9504C" w14:textId="77777777" w:rsidR="00353EEB" w:rsidRDefault="00353EEB" w:rsidP="00711C10">
            <w:pPr>
              <w:pStyle w:val="TableBlock"/>
            </w:pPr>
            <w:r>
              <w:rPr>
                <w:rFonts w:hint="cs"/>
                <w:rtl/>
              </w:rPr>
              <w:t>(4)</w:t>
            </w:r>
            <w:r>
              <w:rPr>
                <w:rtl/>
              </w:rPr>
              <w:tab/>
            </w:r>
            <w:r w:rsidRPr="002B5B60">
              <w:rPr>
                <w:rtl/>
              </w:rPr>
              <w:t>תנאים ומגבלות נוספים שיחולו על המפוקח בתקופת הפיקוח</w:t>
            </w:r>
            <w:r>
              <w:rPr>
                <w:rtl/>
              </w:rPr>
              <w:t>.</w:t>
            </w:r>
          </w:p>
        </w:tc>
      </w:tr>
      <w:tr w:rsidR="00353EEB" w14:paraId="68780F7B" w14:textId="77777777" w:rsidTr="005D53FC">
        <w:trPr>
          <w:cantSplit/>
        </w:trPr>
        <w:tc>
          <w:tcPr>
            <w:tcW w:w="1869" w:type="dxa"/>
          </w:tcPr>
          <w:p w14:paraId="5E85562B" w14:textId="77777777" w:rsidR="00353EEB" w:rsidRDefault="00353EEB" w:rsidP="001B46F4">
            <w:pPr>
              <w:pStyle w:val="TableSideHeading"/>
              <w:keepLines w:val="0"/>
            </w:pPr>
          </w:p>
        </w:tc>
        <w:tc>
          <w:tcPr>
            <w:tcW w:w="624" w:type="dxa"/>
          </w:tcPr>
          <w:p w14:paraId="3C47A183" w14:textId="77777777" w:rsidR="00353EEB" w:rsidRDefault="00353EEB" w:rsidP="001B46F4">
            <w:pPr>
              <w:pStyle w:val="TableText"/>
              <w:keepLines w:val="0"/>
            </w:pPr>
          </w:p>
        </w:tc>
        <w:tc>
          <w:tcPr>
            <w:tcW w:w="1872" w:type="dxa"/>
            <w:gridSpan w:val="3"/>
          </w:tcPr>
          <w:p w14:paraId="230BFC07" w14:textId="77777777" w:rsidR="00353EEB" w:rsidRDefault="00353EEB" w:rsidP="001B46F4">
            <w:pPr>
              <w:pStyle w:val="TableInnerSideHeading"/>
            </w:pPr>
            <w:r w:rsidRPr="002B5B60">
              <w:rPr>
                <w:rtl/>
              </w:rPr>
              <w:t xml:space="preserve">מינוי הממונה על </w:t>
            </w:r>
            <w:r w:rsidRPr="002B5B60">
              <w:rPr>
                <w:rtl/>
              </w:rPr>
              <w:br/>
              <w:t>הפיקוח האלקטרוני</w:t>
            </w:r>
            <w:r w:rsidRPr="002B5B60" w:rsidDel="00BC3AE5">
              <w:rPr>
                <w:rtl/>
              </w:rPr>
              <w:t xml:space="preserve"> </w:t>
            </w:r>
          </w:p>
        </w:tc>
        <w:tc>
          <w:tcPr>
            <w:tcW w:w="624" w:type="dxa"/>
          </w:tcPr>
          <w:p w14:paraId="1DD05F6D" w14:textId="77777777" w:rsidR="00353EEB" w:rsidRDefault="00353EEB" w:rsidP="001B46F4">
            <w:pPr>
              <w:pStyle w:val="TableText"/>
            </w:pPr>
            <w:r>
              <w:rPr>
                <w:rtl/>
              </w:rPr>
              <w:t>3א4.</w:t>
            </w:r>
          </w:p>
        </w:tc>
        <w:tc>
          <w:tcPr>
            <w:tcW w:w="4649" w:type="dxa"/>
            <w:gridSpan w:val="3"/>
          </w:tcPr>
          <w:p w14:paraId="5DE9ABFE" w14:textId="36613599" w:rsidR="00353EEB" w:rsidRDefault="002F4220" w:rsidP="009A73A5">
            <w:pPr>
              <w:pStyle w:val="TableBlock"/>
            </w:pPr>
            <w:r>
              <w:rPr>
                <w:rFonts w:hint="cs"/>
                <w:rtl/>
              </w:rPr>
              <w:t>(א)</w:t>
            </w:r>
            <w:r>
              <w:rPr>
                <w:rtl/>
              </w:rPr>
              <w:tab/>
            </w:r>
            <w:r w:rsidR="00353EEB" w:rsidRPr="002B5B60">
              <w:rPr>
                <w:rtl/>
              </w:rPr>
              <w:t xml:space="preserve">השר </w:t>
            </w:r>
            <w:r w:rsidR="00353EEB">
              <w:rPr>
                <w:rtl/>
              </w:rPr>
              <w:t>לב</w:t>
            </w:r>
            <w:r w:rsidR="00353EEB">
              <w:rPr>
                <w:rFonts w:hint="cs"/>
                <w:rtl/>
              </w:rPr>
              <w:t>י</w:t>
            </w:r>
            <w:r w:rsidR="00353EEB">
              <w:rPr>
                <w:rtl/>
              </w:rPr>
              <w:t xml:space="preserve">טחון </w:t>
            </w:r>
            <w:r w:rsidR="009A73A5">
              <w:rPr>
                <w:rFonts w:hint="cs"/>
                <w:rtl/>
              </w:rPr>
              <w:t>ה</w:t>
            </w:r>
            <w:r w:rsidR="00353EEB">
              <w:rPr>
                <w:rtl/>
              </w:rPr>
              <w:t xml:space="preserve">פנים </w:t>
            </w:r>
            <w:r w:rsidR="00353EEB" w:rsidRPr="002B5B60">
              <w:rPr>
                <w:rtl/>
              </w:rPr>
              <w:t xml:space="preserve">ימנה </w:t>
            </w:r>
            <w:r w:rsidR="00F32514">
              <w:rPr>
                <w:rFonts w:hint="cs"/>
                <w:rtl/>
              </w:rPr>
              <w:t>קצין</w:t>
            </w:r>
            <w:r w:rsidR="00353EEB" w:rsidRPr="002B5B60">
              <w:rPr>
                <w:rtl/>
              </w:rPr>
              <w:t xml:space="preserve"> בכיר לתפקיד הממונה על הפיקוח האלקטרוני</w:t>
            </w:r>
            <w:r w:rsidR="00353EEB">
              <w:rPr>
                <w:rtl/>
              </w:rPr>
              <w:t xml:space="preserve"> על פי חוק זה</w:t>
            </w:r>
            <w:r w:rsidR="00353EEB" w:rsidRPr="002B5B60">
              <w:rPr>
                <w:rtl/>
              </w:rPr>
              <w:t>.</w:t>
            </w:r>
            <w:r w:rsidR="00353EEB" w:rsidDel="00D431C7">
              <w:t xml:space="preserve"> </w:t>
            </w:r>
            <w:r w:rsidR="00353EEB">
              <w:t xml:space="preserve"> </w:t>
            </w:r>
          </w:p>
        </w:tc>
      </w:tr>
      <w:tr w:rsidR="002F4220" w14:paraId="451F48D4" w14:textId="77777777" w:rsidTr="005D53FC">
        <w:trPr>
          <w:cantSplit/>
        </w:trPr>
        <w:tc>
          <w:tcPr>
            <w:tcW w:w="1869" w:type="dxa"/>
          </w:tcPr>
          <w:p w14:paraId="5E4D9CE4" w14:textId="77777777" w:rsidR="002F4220" w:rsidRDefault="002F4220" w:rsidP="001B46F4">
            <w:pPr>
              <w:pStyle w:val="TableSideHeading"/>
              <w:keepLines w:val="0"/>
            </w:pPr>
          </w:p>
        </w:tc>
        <w:tc>
          <w:tcPr>
            <w:tcW w:w="624" w:type="dxa"/>
          </w:tcPr>
          <w:p w14:paraId="6288D2AF" w14:textId="77777777" w:rsidR="002F4220" w:rsidRDefault="002F4220" w:rsidP="001B46F4">
            <w:pPr>
              <w:pStyle w:val="TableText"/>
              <w:keepLines w:val="0"/>
            </w:pPr>
          </w:p>
        </w:tc>
        <w:tc>
          <w:tcPr>
            <w:tcW w:w="1872" w:type="dxa"/>
            <w:gridSpan w:val="3"/>
          </w:tcPr>
          <w:p w14:paraId="36076714" w14:textId="77777777" w:rsidR="002F4220" w:rsidRPr="002B5B60" w:rsidRDefault="002F4220" w:rsidP="001B46F4">
            <w:pPr>
              <w:pStyle w:val="TableInnerSideHeading"/>
              <w:rPr>
                <w:rtl/>
              </w:rPr>
            </w:pPr>
          </w:p>
        </w:tc>
        <w:tc>
          <w:tcPr>
            <w:tcW w:w="624" w:type="dxa"/>
          </w:tcPr>
          <w:p w14:paraId="550A4C7F" w14:textId="77777777" w:rsidR="002F4220" w:rsidRDefault="002F4220" w:rsidP="001B46F4">
            <w:pPr>
              <w:pStyle w:val="TableText"/>
              <w:rPr>
                <w:rtl/>
              </w:rPr>
            </w:pPr>
          </w:p>
        </w:tc>
        <w:tc>
          <w:tcPr>
            <w:tcW w:w="4649" w:type="dxa"/>
            <w:gridSpan w:val="3"/>
          </w:tcPr>
          <w:p w14:paraId="07258300" w14:textId="19FF8DF9" w:rsidR="002F4220" w:rsidRPr="002B5B60" w:rsidRDefault="002F4220">
            <w:pPr>
              <w:pStyle w:val="TableBlock"/>
              <w:rPr>
                <w:rtl/>
              </w:rPr>
            </w:pPr>
            <w:r>
              <w:rPr>
                <w:rFonts w:hint="cs"/>
                <w:rtl/>
              </w:rPr>
              <w:t xml:space="preserve">(ב) </w:t>
            </w:r>
            <w:r w:rsidR="00711C10">
              <w:rPr>
                <w:rtl/>
              </w:rPr>
              <w:tab/>
            </w:r>
            <w:r w:rsidRPr="002B5B60">
              <w:rPr>
                <w:rtl/>
              </w:rPr>
              <w:t>הממונה יהיה אחראי לכל אלה:</w:t>
            </w:r>
          </w:p>
        </w:tc>
      </w:tr>
      <w:tr w:rsidR="00353EEB" w14:paraId="3E78444D" w14:textId="77777777" w:rsidTr="005D53FC">
        <w:trPr>
          <w:cantSplit/>
        </w:trPr>
        <w:tc>
          <w:tcPr>
            <w:tcW w:w="1869" w:type="dxa"/>
          </w:tcPr>
          <w:p w14:paraId="49DEDC68" w14:textId="5D456402" w:rsidR="00353EEB" w:rsidRDefault="00353EEB" w:rsidP="001B46F4">
            <w:pPr>
              <w:pStyle w:val="TableSideHeading"/>
            </w:pPr>
          </w:p>
        </w:tc>
        <w:tc>
          <w:tcPr>
            <w:tcW w:w="624" w:type="dxa"/>
          </w:tcPr>
          <w:p w14:paraId="05BA6870" w14:textId="77777777" w:rsidR="00353EEB" w:rsidRDefault="00353EEB" w:rsidP="001B46F4">
            <w:pPr>
              <w:pStyle w:val="TableText"/>
            </w:pPr>
          </w:p>
        </w:tc>
        <w:tc>
          <w:tcPr>
            <w:tcW w:w="624" w:type="dxa"/>
          </w:tcPr>
          <w:p w14:paraId="5B453E51" w14:textId="77777777" w:rsidR="00353EEB" w:rsidRDefault="00353EEB" w:rsidP="001B46F4">
            <w:pPr>
              <w:pStyle w:val="TableText"/>
            </w:pPr>
          </w:p>
        </w:tc>
        <w:tc>
          <w:tcPr>
            <w:tcW w:w="624" w:type="dxa"/>
          </w:tcPr>
          <w:p w14:paraId="0A749B05" w14:textId="77777777" w:rsidR="00353EEB" w:rsidRDefault="00353EEB" w:rsidP="001B46F4">
            <w:pPr>
              <w:pStyle w:val="TableText"/>
            </w:pPr>
          </w:p>
        </w:tc>
        <w:tc>
          <w:tcPr>
            <w:tcW w:w="624" w:type="dxa"/>
          </w:tcPr>
          <w:p w14:paraId="366BD061" w14:textId="77777777" w:rsidR="00353EEB" w:rsidRDefault="00353EEB" w:rsidP="001B46F4">
            <w:pPr>
              <w:pStyle w:val="TableText"/>
            </w:pPr>
          </w:p>
        </w:tc>
        <w:tc>
          <w:tcPr>
            <w:tcW w:w="624" w:type="dxa"/>
          </w:tcPr>
          <w:p w14:paraId="6125F09A" w14:textId="77777777" w:rsidR="00353EEB" w:rsidRDefault="00353EEB" w:rsidP="001B46F4">
            <w:pPr>
              <w:pStyle w:val="TableText"/>
            </w:pPr>
          </w:p>
        </w:tc>
        <w:tc>
          <w:tcPr>
            <w:tcW w:w="624" w:type="dxa"/>
          </w:tcPr>
          <w:p w14:paraId="078C3C36" w14:textId="77777777" w:rsidR="00353EEB" w:rsidRDefault="00353EEB" w:rsidP="001B46F4">
            <w:pPr>
              <w:pStyle w:val="TableText"/>
            </w:pPr>
          </w:p>
        </w:tc>
        <w:tc>
          <w:tcPr>
            <w:tcW w:w="4025" w:type="dxa"/>
            <w:gridSpan w:val="2"/>
          </w:tcPr>
          <w:p w14:paraId="29EE8530" w14:textId="1A145FA2" w:rsidR="00353EEB" w:rsidRDefault="00353EEB" w:rsidP="003016B1">
            <w:pPr>
              <w:pStyle w:val="TableBlock"/>
            </w:pPr>
            <w:r>
              <w:rPr>
                <w:rFonts w:hint="cs"/>
                <w:rtl/>
              </w:rPr>
              <w:t>(</w:t>
            </w:r>
            <w:r w:rsidR="009A73A5">
              <w:rPr>
                <w:rFonts w:hint="cs"/>
                <w:rtl/>
              </w:rPr>
              <w:t>1</w:t>
            </w:r>
            <w:r>
              <w:rPr>
                <w:rFonts w:hint="cs"/>
                <w:rtl/>
              </w:rPr>
              <w:t>)</w:t>
            </w:r>
            <w:r>
              <w:rPr>
                <w:rtl/>
              </w:rPr>
              <w:tab/>
            </w:r>
            <w:r w:rsidRPr="002B5B60">
              <w:rPr>
                <w:rtl/>
              </w:rPr>
              <w:t>פיקוח על עמידתם של המפוקחים בתנאי תכנית הפיקוח שלהם</w:t>
            </w:r>
            <w:r>
              <w:rPr>
                <w:rtl/>
              </w:rPr>
              <w:t>;</w:t>
            </w:r>
          </w:p>
        </w:tc>
      </w:tr>
      <w:tr w:rsidR="00353EEB" w14:paraId="4E3AF336" w14:textId="77777777" w:rsidTr="005D53FC">
        <w:trPr>
          <w:cantSplit/>
        </w:trPr>
        <w:tc>
          <w:tcPr>
            <w:tcW w:w="1869" w:type="dxa"/>
          </w:tcPr>
          <w:p w14:paraId="26E10ADA" w14:textId="77777777" w:rsidR="00353EEB" w:rsidRDefault="00353EEB" w:rsidP="001B46F4">
            <w:pPr>
              <w:pStyle w:val="TableSideHeading"/>
            </w:pPr>
          </w:p>
        </w:tc>
        <w:tc>
          <w:tcPr>
            <w:tcW w:w="624" w:type="dxa"/>
          </w:tcPr>
          <w:p w14:paraId="226A0E9C" w14:textId="77777777" w:rsidR="00353EEB" w:rsidRDefault="00353EEB" w:rsidP="001B46F4">
            <w:pPr>
              <w:pStyle w:val="TableText"/>
            </w:pPr>
          </w:p>
        </w:tc>
        <w:tc>
          <w:tcPr>
            <w:tcW w:w="624" w:type="dxa"/>
          </w:tcPr>
          <w:p w14:paraId="59BF401A" w14:textId="77777777" w:rsidR="00353EEB" w:rsidRDefault="00353EEB" w:rsidP="001B46F4">
            <w:pPr>
              <w:pStyle w:val="TableText"/>
            </w:pPr>
          </w:p>
        </w:tc>
        <w:tc>
          <w:tcPr>
            <w:tcW w:w="624" w:type="dxa"/>
          </w:tcPr>
          <w:p w14:paraId="190AFF96" w14:textId="77777777" w:rsidR="00353EEB" w:rsidRDefault="00353EEB" w:rsidP="001B46F4">
            <w:pPr>
              <w:pStyle w:val="TableText"/>
            </w:pPr>
          </w:p>
        </w:tc>
        <w:tc>
          <w:tcPr>
            <w:tcW w:w="624" w:type="dxa"/>
          </w:tcPr>
          <w:p w14:paraId="55FBE4AC" w14:textId="77777777" w:rsidR="00353EEB" w:rsidRDefault="00353EEB" w:rsidP="001B46F4">
            <w:pPr>
              <w:pStyle w:val="TableText"/>
            </w:pPr>
          </w:p>
        </w:tc>
        <w:tc>
          <w:tcPr>
            <w:tcW w:w="624" w:type="dxa"/>
          </w:tcPr>
          <w:p w14:paraId="3B8089C1" w14:textId="77777777" w:rsidR="00353EEB" w:rsidRDefault="00353EEB" w:rsidP="001B46F4">
            <w:pPr>
              <w:pStyle w:val="TableText"/>
            </w:pPr>
          </w:p>
        </w:tc>
        <w:tc>
          <w:tcPr>
            <w:tcW w:w="624" w:type="dxa"/>
          </w:tcPr>
          <w:p w14:paraId="4D3180D6" w14:textId="77777777" w:rsidR="00353EEB" w:rsidRDefault="00353EEB" w:rsidP="001B46F4">
            <w:pPr>
              <w:pStyle w:val="TableText"/>
            </w:pPr>
          </w:p>
        </w:tc>
        <w:tc>
          <w:tcPr>
            <w:tcW w:w="4025" w:type="dxa"/>
            <w:gridSpan w:val="2"/>
          </w:tcPr>
          <w:p w14:paraId="7F2875C5" w14:textId="0232FEF2" w:rsidR="00353EEB" w:rsidRDefault="00353EEB" w:rsidP="003016B1">
            <w:pPr>
              <w:pStyle w:val="TableBlock"/>
            </w:pPr>
            <w:r>
              <w:rPr>
                <w:rFonts w:hint="cs"/>
                <w:rtl/>
              </w:rPr>
              <w:t>(</w:t>
            </w:r>
            <w:r w:rsidR="009A73A5">
              <w:rPr>
                <w:rFonts w:hint="cs"/>
                <w:rtl/>
              </w:rPr>
              <w:t>2</w:t>
            </w:r>
            <w:r>
              <w:rPr>
                <w:rFonts w:hint="cs"/>
                <w:rtl/>
              </w:rPr>
              <w:t>)</w:t>
            </w:r>
            <w:r>
              <w:rPr>
                <w:rtl/>
              </w:rPr>
              <w:tab/>
            </w:r>
            <w:r w:rsidRPr="002B5B60">
              <w:rPr>
                <w:rtl/>
              </w:rPr>
              <w:t>ביצוע פעולות בקרה על הפעלת הפיקוח האלקטרוני ועל פעילות החברה המפעילה</w:t>
            </w:r>
            <w:r>
              <w:rPr>
                <w:rtl/>
              </w:rPr>
              <w:t>;</w:t>
            </w:r>
          </w:p>
        </w:tc>
      </w:tr>
      <w:tr w:rsidR="00353EEB" w14:paraId="265BC22A" w14:textId="77777777" w:rsidTr="005D53FC">
        <w:trPr>
          <w:cantSplit/>
        </w:trPr>
        <w:tc>
          <w:tcPr>
            <w:tcW w:w="1869" w:type="dxa"/>
          </w:tcPr>
          <w:p w14:paraId="46914724" w14:textId="77777777" w:rsidR="00353EEB" w:rsidRDefault="00353EEB" w:rsidP="001B46F4">
            <w:pPr>
              <w:pStyle w:val="TableSideHeading"/>
            </w:pPr>
          </w:p>
        </w:tc>
        <w:tc>
          <w:tcPr>
            <w:tcW w:w="624" w:type="dxa"/>
          </w:tcPr>
          <w:p w14:paraId="4E6318D4" w14:textId="77777777" w:rsidR="00353EEB" w:rsidRDefault="00353EEB" w:rsidP="001B46F4">
            <w:pPr>
              <w:pStyle w:val="TableText"/>
            </w:pPr>
          </w:p>
        </w:tc>
        <w:tc>
          <w:tcPr>
            <w:tcW w:w="624" w:type="dxa"/>
          </w:tcPr>
          <w:p w14:paraId="4ABC544F" w14:textId="77777777" w:rsidR="00353EEB" w:rsidRDefault="00353EEB" w:rsidP="001B46F4">
            <w:pPr>
              <w:pStyle w:val="TableText"/>
            </w:pPr>
          </w:p>
        </w:tc>
        <w:tc>
          <w:tcPr>
            <w:tcW w:w="624" w:type="dxa"/>
          </w:tcPr>
          <w:p w14:paraId="35FB25A1" w14:textId="77777777" w:rsidR="00353EEB" w:rsidRDefault="00353EEB" w:rsidP="001B46F4">
            <w:pPr>
              <w:pStyle w:val="TableText"/>
            </w:pPr>
          </w:p>
        </w:tc>
        <w:tc>
          <w:tcPr>
            <w:tcW w:w="624" w:type="dxa"/>
          </w:tcPr>
          <w:p w14:paraId="7EDF5D89" w14:textId="77777777" w:rsidR="00353EEB" w:rsidRDefault="00353EEB" w:rsidP="001B46F4">
            <w:pPr>
              <w:pStyle w:val="TableText"/>
            </w:pPr>
          </w:p>
        </w:tc>
        <w:tc>
          <w:tcPr>
            <w:tcW w:w="624" w:type="dxa"/>
          </w:tcPr>
          <w:p w14:paraId="5A145EFB" w14:textId="77777777" w:rsidR="00353EEB" w:rsidRDefault="00353EEB" w:rsidP="001B46F4">
            <w:pPr>
              <w:pStyle w:val="TableText"/>
            </w:pPr>
          </w:p>
        </w:tc>
        <w:tc>
          <w:tcPr>
            <w:tcW w:w="624" w:type="dxa"/>
          </w:tcPr>
          <w:p w14:paraId="5A8CBA18" w14:textId="77777777" w:rsidR="00353EEB" w:rsidRDefault="00353EEB" w:rsidP="001B46F4">
            <w:pPr>
              <w:pStyle w:val="TableText"/>
            </w:pPr>
          </w:p>
        </w:tc>
        <w:tc>
          <w:tcPr>
            <w:tcW w:w="4025" w:type="dxa"/>
            <w:gridSpan w:val="2"/>
          </w:tcPr>
          <w:p w14:paraId="63CC0EAC" w14:textId="6F0490DB" w:rsidR="00353EEB" w:rsidRDefault="00353EEB" w:rsidP="003016B1">
            <w:pPr>
              <w:pStyle w:val="TableBlock"/>
            </w:pPr>
            <w:r>
              <w:rPr>
                <w:rFonts w:hint="cs"/>
                <w:rtl/>
              </w:rPr>
              <w:t>(</w:t>
            </w:r>
            <w:r w:rsidR="009A73A5">
              <w:rPr>
                <w:rFonts w:hint="cs"/>
                <w:rtl/>
              </w:rPr>
              <w:t>3</w:t>
            </w:r>
            <w:r>
              <w:rPr>
                <w:rFonts w:hint="cs"/>
                <w:rtl/>
              </w:rPr>
              <w:t>)</w:t>
            </w:r>
            <w:r>
              <w:rPr>
                <w:rtl/>
              </w:rPr>
              <w:tab/>
            </w:r>
            <w:r w:rsidRPr="002B5B60">
              <w:rPr>
                <w:rtl/>
              </w:rPr>
              <w:t>תיאום בין הגורמים השותפים להפעלת תכנית הפיקוח</w:t>
            </w:r>
            <w:r>
              <w:rPr>
                <w:rtl/>
              </w:rPr>
              <w:t>;</w:t>
            </w:r>
          </w:p>
        </w:tc>
      </w:tr>
      <w:tr w:rsidR="00353EEB" w14:paraId="1441ADB1" w14:textId="77777777" w:rsidTr="005D53FC">
        <w:trPr>
          <w:cantSplit/>
        </w:trPr>
        <w:tc>
          <w:tcPr>
            <w:tcW w:w="1869" w:type="dxa"/>
          </w:tcPr>
          <w:p w14:paraId="29348B64" w14:textId="77777777" w:rsidR="00353EEB" w:rsidRDefault="00353EEB" w:rsidP="001B46F4">
            <w:pPr>
              <w:pStyle w:val="TableSideHeading"/>
            </w:pPr>
          </w:p>
        </w:tc>
        <w:tc>
          <w:tcPr>
            <w:tcW w:w="624" w:type="dxa"/>
          </w:tcPr>
          <w:p w14:paraId="5FD455C4" w14:textId="77777777" w:rsidR="00353EEB" w:rsidRDefault="00353EEB" w:rsidP="001B46F4">
            <w:pPr>
              <w:pStyle w:val="TableText"/>
            </w:pPr>
          </w:p>
        </w:tc>
        <w:tc>
          <w:tcPr>
            <w:tcW w:w="624" w:type="dxa"/>
          </w:tcPr>
          <w:p w14:paraId="6FEB2341" w14:textId="77777777" w:rsidR="00353EEB" w:rsidRDefault="00353EEB" w:rsidP="001B46F4">
            <w:pPr>
              <w:pStyle w:val="TableText"/>
            </w:pPr>
          </w:p>
        </w:tc>
        <w:tc>
          <w:tcPr>
            <w:tcW w:w="624" w:type="dxa"/>
          </w:tcPr>
          <w:p w14:paraId="2AB479C3" w14:textId="77777777" w:rsidR="00353EEB" w:rsidRDefault="00353EEB" w:rsidP="001B46F4">
            <w:pPr>
              <w:pStyle w:val="TableText"/>
            </w:pPr>
          </w:p>
        </w:tc>
        <w:tc>
          <w:tcPr>
            <w:tcW w:w="624" w:type="dxa"/>
          </w:tcPr>
          <w:p w14:paraId="68AFFF23" w14:textId="77777777" w:rsidR="00353EEB" w:rsidRDefault="00353EEB" w:rsidP="001B46F4">
            <w:pPr>
              <w:pStyle w:val="TableText"/>
            </w:pPr>
          </w:p>
        </w:tc>
        <w:tc>
          <w:tcPr>
            <w:tcW w:w="624" w:type="dxa"/>
          </w:tcPr>
          <w:p w14:paraId="42DBBEA0" w14:textId="77777777" w:rsidR="00353EEB" w:rsidRDefault="00353EEB" w:rsidP="001B46F4">
            <w:pPr>
              <w:pStyle w:val="TableText"/>
            </w:pPr>
          </w:p>
        </w:tc>
        <w:tc>
          <w:tcPr>
            <w:tcW w:w="624" w:type="dxa"/>
          </w:tcPr>
          <w:p w14:paraId="032CE2F6" w14:textId="77777777" w:rsidR="00353EEB" w:rsidRDefault="00353EEB" w:rsidP="001B46F4">
            <w:pPr>
              <w:pStyle w:val="TableText"/>
            </w:pPr>
          </w:p>
        </w:tc>
        <w:tc>
          <w:tcPr>
            <w:tcW w:w="4025" w:type="dxa"/>
            <w:gridSpan w:val="2"/>
          </w:tcPr>
          <w:p w14:paraId="6C0B9AE1" w14:textId="500CC1D6" w:rsidR="00353EEB" w:rsidRDefault="00353EEB" w:rsidP="003016B1">
            <w:pPr>
              <w:pStyle w:val="TableBlock"/>
            </w:pPr>
            <w:r>
              <w:rPr>
                <w:rFonts w:hint="cs"/>
                <w:rtl/>
              </w:rPr>
              <w:t>(</w:t>
            </w:r>
            <w:r w:rsidR="009A73A5">
              <w:rPr>
                <w:rFonts w:hint="cs"/>
                <w:rtl/>
              </w:rPr>
              <w:t>4</w:t>
            </w:r>
            <w:r>
              <w:rPr>
                <w:rFonts w:hint="cs"/>
                <w:rtl/>
              </w:rPr>
              <w:t>)</w:t>
            </w:r>
            <w:r>
              <w:rPr>
                <w:rtl/>
              </w:rPr>
              <w:tab/>
            </w:r>
            <w:r w:rsidRPr="002B5B60">
              <w:rPr>
                <w:rtl/>
              </w:rPr>
              <w:t>כל תפקיד אחר שהוטל עליו על פי הוראות החוק.</w:t>
            </w:r>
          </w:p>
        </w:tc>
      </w:tr>
      <w:tr w:rsidR="00353EEB" w14:paraId="333534C8" w14:textId="77777777" w:rsidTr="005D53FC">
        <w:trPr>
          <w:cantSplit/>
        </w:trPr>
        <w:tc>
          <w:tcPr>
            <w:tcW w:w="1869" w:type="dxa"/>
          </w:tcPr>
          <w:p w14:paraId="36B124C3" w14:textId="77777777" w:rsidR="00353EEB" w:rsidRDefault="00353EEB" w:rsidP="001B46F4">
            <w:pPr>
              <w:pStyle w:val="TableSideHeading"/>
              <w:keepLines w:val="0"/>
            </w:pPr>
          </w:p>
        </w:tc>
        <w:tc>
          <w:tcPr>
            <w:tcW w:w="624" w:type="dxa"/>
          </w:tcPr>
          <w:p w14:paraId="44DC0EED" w14:textId="77777777" w:rsidR="00353EEB" w:rsidRDefault="00353EEB" w:rsidP="001B46F4">
            <w:pPr>
              <w:pStyle w:val="TableText"/>
              <w:keepLines w:val="0"/>
            </w:pPr>
          </w:p>
        </w:tc>
        <w:tc>
          <w:tcPr>
            <w:tcW w:w="1872" w:type="dxa"/>
            <w:gridSpan w:val="3"/>
          </w:tcPr>
          <w:p w14:paraId="49357BE1" w14:textId="77777777" w:rsidR="00353EEB" w:rsidRDefault="00353EEB" w:rsidP="001B46F4">
            <w:pPr>
              <w:pStyle w:val="TableInnerSideHeading"/>
            </w:pPr>
            <w:r>
              <w:rPr>
                <w:rtl/>
              </w:rPr>
              <w:t>בירור הפרת  תכנית הפיקוח</w:t>
            </w:r>
          </w:p>
        </w:tc>
        <w:tc>
          <w:tcPr>
            <w:tcW w:w="624" w:type="dxa"/>
          </w:tcPr>
          <w:p w14:paraId="23DE4227" w14:textId="77777777" w:rsidR="00353EEB" w:rsidRDefault="00353EEB" w:rsidP="001B46F4">
            <w:pPr>
              <w:pStyle w:val="TableText"/>
            </w:pPr>
            <w:r>
              <w:rPr>
                <w:rtl/>
              </w:rPr>
              <w:t>3א5</w:t>
            </w:r>
            <w:r>
              <w:rPr>
                <w:rFonts w:hint="cs"/>
                <w:rtl/>
              </w:rPr>
              <w:t xml:space="preserve">. </w:t>
            </w:r>
          </w:p>
        </w:tc>
        <w:tc>
          <w:tcPr>
            <w:tcW w:w="4649" w:type="dxa"/>
            <w:gridSpan w:val="3"/>
          </w:tcPr>
          <w:p w14:paraId="209C9CB9" w14:textId="77777777" w:rsidR="00353EEB" w:rsidRDefault="00353EEB" w:rsidP="00711C10">
            <w:pPr>
              <w:pStyle w:val="TableBlock"/>
            </w:pPr>
            <w:r>
              <w:rPr>
                <w:rtl/>
              </w:rPr>
              <w:t>התעורר חשד להפרת תכנית הפיקוח, רשאי שוטר, לצורך בירור ההפרה –</w:t>
            </w:r>
          </w:p>
        </w:tc>
      </w:tr>
      <w:tr w:rsidR="00353EEB" w14:paraId="4670D067" w14:textId="77777777" w:rsidTr="005D53FC">
        <w:trPr>
          <w:cantSplit/>
        </w:trPr>
        <w:tc>
          <w:tcPr>
            <w:tcW w:w="1869" w:type="dxa"/>
          </w:tcPr>
          <w:p w14:paraId="1B36B2C0" w14:textId="77777777" w:rsidR="00353EEB" w:rsidRDefault="00353EEB" w:rsidP="001B46F4">
            <w:pPr>
              <w:pStyle w:val="TableSideHeading"/>
            </w:pPr>
          </w:p>
        </w:tc>
        <w:tc>
          <w:tcPr>
            <w:tcW w:w="624" w:type="dxa"/>
          </w:tcPr>
          <w:p w14:paraId="1C743E47" w14:textId="77777777" w:rsidR="00353EEB" w:rsidRDefault="00353EEB" w:rsidP="001B46F4">
            <w:pPr>
              <w:pStyle w:val="TableText"/>
            </w:pPr>
          </w:p>
        </w:tc>
        <w:tc>
          <w:tcPr>
            <w:tcW w:w="624" w:type="dxa"/>
          </w:tcPr>
          <w:p w14:paraId="3285EB0F" w14:textId="77777777" w:rsidR="00353EEB" w:rsidRDefault="00353EEB" w:rsidP="001B46F4">
            <w:pPr>
              <w:pStyle w:val="TableText"/>
            </w:pPr>
          </w:p>
        </w:tc>
        <w:tc>
          <w:tcPr>
            <w:tcW w:w="624" w:type="dxa"/>
          </w:tcPr>
          <w:p w14:paraId="569759F1" w14:textId="77777777" w:rsidR="00353EEB" w:rsidRDefault="00353EEB" w:rsidP="001B46F4">
            <w:pPr>
              <w:pStyle w:val="TableText"/>
            </w:pPr>
          </w:p>
        </w:tc>
        <w:tc>
          <w:tcPr>
            <w:tcW w:w="624" w:type="dxa"/>
          </w:tcPr>
          <w:p w14:paraId="076254EF" w14:textId="77777777" w:rsidR="00353EEB" w:rsidRDefault="00353EEB" w:rsidP="001B46F4">
            <w:pPr>
              <w:pStyle w:val="TableText"/>
            </w:pPr>
          </w:p>
        </w:tc>
        <w:tc>
          <w:tcPr>
            <w:tcW w:w="624" w:type="dxa"/>
          </w:tcPr>
          <w:p w14:paraId="62611B41" w14:textId="77777777" w:rsidR="00353EEB" w:rsidRDefault="00353EEB" w:rsidP="001B46F4">
            <w:pPr>
              <w:pStyle w:val="TableText"/>
            </w:pPr>
          </w:p>
        </w:tc>
        <w:tc>
          <w:tcPr>
            <w:tcW w:w="624" w:type="dxa"/>
          </w:tcPr>
          <w:p w14:paraId="425F82ED" w14:textId="77777777" w:rsidR="00353EEB" w:rsidRDefault="00353EEB" w:rsidP="001B46F4">
            <w:pPr>
              <w:pStyle w:val="TableText"/>
            </w:pPr>
          </w:p>
        </w:tc>
        <w:tc>
          <w:tcPr>
            <w:tcW w:w="4025" w:type="dxa"/>
            <w:gridSpan w:val="2"/>
          </w:tcPr>
          <w:p w14:paraId="652E90AB" w14:textId="77777777" w:rsidR="00353EEB" w:rsidRDefault="00353EEB" w:rsidP="00711C10">
            <w:pPr>
              <w:pStyle w:val="TableBlock"/>
            </w:pPr>
            <w:r>
              <w:rPr>
                <w:rFonts w:hint="cs"/>
                <w:rtl/>
              </w:rPr>
              <w:t>(א)</w:t>
            </w:r>
            <w:r>
              <w:rPr>
                <w:rtl/>
              </w:rPr>
              <w:tab/>
              <w:t xml:space="preserve">לדרוש מכל אדם שעשויה להיות לו נגיעה לעניין למסור לו את שמו ומענו ולהציג בפניו תעודת זהות או תעודה רשמית אחרת המזהה אותו;  </w:t>
            </w:r>
          </w:p>
        </w:tc>
      </w:tr>
      <w:tr w:rsidR="00353EEB" w14:paraId="4D226D0E" w14:textId="77777777" w:rsidTr="005D53FC">
        <w:trPr>
          <w:cantSplit/>
        </w:trPr>
        <w:tc>
          <w:tcPr>
            <w:tcW w:w="1869" w:type="dxa"/>
          </w:tcPr>
          <w:p w14:paraId="70F7E8EA" w14:textId="77777777" w:rsidR="00353EEB" w:rsidRDefault="00353EEB" w:rsidP="001B46F4">
            <w:pPr>
              <w:pStyle w:val="TableSideHeading"/>
            </w:pPr>
          </w:p>
        </w:tc>
        <w:tc>
          <w:tcPr>
            <w:tcW w:w="624" w:type="dxa"/>
          </w:tcPr>
          <w:p w14:paraId="71AF4F9E" w14:textId="77777777" w:rsidR="00353EEB" w:rsidRDefault="00353EEB" w:rsidP="001B46F4">
            <w:pPr>
              <w:pStyle w:val="TableText"/>
            </w:pPr>
          </w:p>
        </w:tc>
        <w:tc>
          <w:tcPr>
            <w:tcW w:w="624" w:type="dxa"/>
          </w:tcPr>
          <w:p w14:paraId="6D8E4EEA" w14:textId="77777777" w:rsidR="00353EEB" w:rsidRDefault="00353EEB" w:rsidP="001B46F4">
            <w:pPr>
              <w:pStyle w:val="TableText"/>
            </w:pPr>
          </w:p>
        </w:tc>
        <w:tc>
          <w:tcPr>
            <w:tcW w:w="624" w:type="dxa"/>
          </w:tcPr>
          <w:p w14:paraId="07766437" w14:textId="77777777" w:rsidR="00353EEB" w:rsidRDefault="00353EEB" w:rsidP="001B46F4">
            <w:pPr>
              <w:pStyle w:val="TableText"/>
            </w:pPr>
          </w:p>
        </w:tc>
        <w:tc>
          <w:tcPr>
            <w:tcW w:w="624" w:type="dxa"/>
          </w:tcPr>
          <w:p w14:paraId="63EF5989" w14:textId="77777777" w:rsidR="00353EEB" w:rsidRDefault="00353EEB" w:rsidP="001B46F4">
            <w:pPr>
              <w:pStyle w:val="TableText"/>
            </w:pPr>
          </w:p>
        </w:tc>
        <w:tc>
          <w:tcPr>
            <w:tcW w:w="624" w:type="dxa"/>
          </w:tcPr>
          <w:p w14:paraId="704AC884" w14:textId="77777777" w:rsidR="00353EEB" w:rsidRDefault="00353EEB" w:rsidP="001B46F4">
            <w:pPr>
              <w:pStyle w:val="TableText"/>
            </w:pPr>
          </w:p>
        </w:tc>
        <w:tc>
          <w:tcPr>
            <w:tcW w:w="624" w:type="dxa"/>
          </w:tcPr>
          <w:p w14:paraId="7FFB516E" w14:textId="77777777" w:rsidR="00353EEB" w:rsidRDefault="00353EEB" w:rsidP="001B46F4">
            <w:pPr>
              <w:pStyle w:val="TableText"/>
            </w:pPr>
          </w:p>
        </w:tc>
        <w:tc>
          <w:tcPr>
            <w:tcW w:w="4025" w:type="dxa"/>
            <w:gridSpan w:val="2"/>
          </w:tcPr>
          <w:p w14:paraId="676FF54D" w14:textId="77777777" w:rsidR="00353EEB" w:rsidRDefault="00353EEB" w:rsidP="00711C10">
            <w:pPr>
              <w:pStyle w:val="TableBlock"/>
            </w:pPr>
            <w:r>
              <w:rPr>
                <w:rFonts w:hint="cs"/>
                <w:rtl/>
              </w:rPr>
              <w:t>(ב)</w:t>
            </w:r>
            <w:r>
              <w:rPr>
                <w:rtl/>
              </w:rPr>
              <w:tab/>
            </w:r>
            <w:r w:rsidRPr="00EA078F">
              <w:rPr>
                <w:rtl/>
              </w:rPr>
              <w:t xml:space="preserve">לדרוש מכל אדם הנוגע בדבר למסור לו כל ידיעה או מסמך העשויים לכלול מידע בנוגע לעמידה בתנאי תכנית הפיקוח או להפרתם; בפסקה זו, "מסמך" – לרבות פלט, כהגדרתו בחוק המחשבים, </w:t>
            </w:r>
            <w:proofErr w:type="spellStart"/>
            <w:r w:rsidRPr="00EA078F">
              <w:rPr>
                <w:rtl/>
              </w:rPr>
              <w:t>התשנ"ה</w:t>
            </w:r>
            <w:proofErr w:type="spellEnd"/>
            <w:r w:rsidRPr="00EA078F">
              <w:rPr>
                <w:rtl/>
              </w:rPr>
              <w:t>–1995</w:t>
            </w:r>
            <w:r w:rsidRPr="00623D93">
              <w:rPr>
                <w:sz w:val="14"/>
                <w:szCs w:val="20"/>
                <w:rtl/>
              </w:rPr>
              <w:footnoteReference w:id="4"/>
            </w:r>
            <w:r w:rsidRPr="00EA078F">
              <w:rPr>
                <w:rtl/>
              </w:rPr>
              <w:t>;</w:t>
            </w:r>
          </w:p>
        </w:tc>
      </w:tr>
      <w:tr w:rsidR="00353EEB" w14:paraId="61211B7F" w14:textId="77777777" w:rsidTr="005D53FC">
        <w:trPr>
          <w:cantSplit/>
        </w:trPr>
        <w:tc>
          <w:tcPr>
            <w:tcW w:w="1869" w:type="dxa"/>
          </w:tcPr>
          <w:p w14:paraId="3CBE8302" w14:textId="77777777" w:rsidR="00353EEB" w:rsidRDefault="00353EEB" w:rsidP="001B46F4">
            <w:pPr>
              <w:pStyle w:val="TableSideHeading"/>
            </w:pPr>
          </w:p>
        </w:tc>
        <w:tc>
          <w:tcPr>
            <w:tcW w:w="624" w:type="dxa"/>
          </w:tcPr>
          <w:p w14:paraId="73B4C428" w14:textId="77777777" w:rsidR="00353EEB" w:rsidRDefault="00353EEB" w:rsidP="001B46F4">
            <w:pPr>
              <w:pStyle w:val="TableText"/>
            </w:pPr>
          </w:p>
        </w:tc>
        <w:tc>
          <w:tcPr>
            <w:tcW w:w="624" w:type="dxa"/>
          </w:tcPr>
          <w:p w14:paraId="78D629F7" w14:textId="77777777" w:rsidR="00353EEB" w:rsidRDefault="00353EEB" w:rsidP="001B46F4">
            <w:pPr>
              <w:pStyle w:val="TableText"/>
            </w:pPr>
          </w:p>
        </w:tc>
        <w:tc>
          <w:tcPr>
            <w:tcW w:w="624" w:type="dxa"/>
          </w:tcPr>
          <w:p w14:paraId="4B14D740" w14:textId="77777777" w:rsidR="00353EEB" w:rsidRDefault="00353EEB" w:rsidP="001B46F4">
            <w:pPr>
              <w:pStyle w:val="TableText"/>
            </w:pPr>
          </w:p>
        </w:tc>
        <w:tc>
          <w:tcPr>
            <w:tcW w:w="624" w:type="dxa"/>
          </w:tcPr>
          <w:p w14:paraId="79928917" w14:textId="77777777" w:rsidR="00353EEB" w:rsidRDefault="00353EEB" w:rsidP="001B46F4">
            <w:pPr>
              <w:pStyle w:val="TableText"/>
            </w:pPr>
          </w:p>
        </w:tc>
        <w:tc>
          <w:tcPr>
            <w:tcW w:w="624" w:type="dxa"/>
          </w:tcPr>
          <w:p w14:paraId="05A22534" w14:textId="77777777" w:rsidR="00353EEB" w:rsidRDefault="00353EEB" w:rsidP="001B46F4">
            <w:pPr>
              <w:pStyle w:val="TableText"/>
            </w:pPr>
          </w:p>
        </w:tc>
        <w:tc>
          <w:tcPr>
            <w:tcW w:w="624" w:type="dxa"/>
          </w:tcPr>
          <w:p w14:paraId="3879FA75" w14:textId="77777777" w:rsidR="00353EEB" w:rsidRDefault="00353EEB" w:rsidP="001B46F4">
            <w:pPr>
              <w:pStyle w:val="TableText"/>
            </w:pPr>
          </w:p>
        </w:tc>
        <w:tc>
          <w:tcPr>
            <w:tcW w:w="4025" w:type="dxa"/>
            <w:gridSpan w:val="2"/>
          </w:tcPr>
          <w:p w14:paraId="3A8A27AE" w14:textId="77777777" w:rsidR="00353EEB" w:rsidRDefault="00353EEB" w:rsidP="00711C10">
            <w:pPr>
              <w:pStyle w:val="TableBlock"/>
            </w:pPr>
            <w:r>
              <w:rPr>
                <w:rFonts w:hint="cs"/>
                <w:rtl/>
              </w:rPr>
              <w:t>(ג)</w:t>
            </w:r>
            <w:r>
              <w:rPr>
                <w:rtl/>
              </w:rPr>
              <w:tab/>
              <w:t>להיכנס לאזור הפיקוח.</w:t>
            </w:r>
          </w:p>
        </w:tc>
      </w:tr>
      <w:tr w:rsidR="00353EEB" w14:paraId="041478A0" w14:textId="77777777" w:rsidTr="005D53FC">
        <w:trPr>
          <w:cantSplit/>
        </w:trPr>
        <w:tc>
          <w:tcPr>
            <w:tcW w:w="1869" w:type="dxa"/>
          </w:tcPr>
          <w:p w14:paraId="4E28B672" w14:textId="77777777" w:rsidR="00353EEB" w:rsidRDefault="00353EEB" w:rsidP="001B46F4">
            <w:pPr>
              <w:pStyle w:val="TableSideHeading"/>
              <w:keepLines w:val="0"/>
            </w:pPr>
          </w:p>
        </w:tc>
        <w:tc>
          <w:tcPr>
            <w:tcW w:w="624" w:type="dxa"/>
          </w:tcPr>
          <w:p w14:paraId="0AEC0F0E" w14:textId="77777777" w:rsidR="00353EEB" w:rsidRDefault="00353EEB" w:rsidP="001B46F4">
            <w:pPr>
              <w:pStyle w:val="TableText"/>
              <w:keepLines w:val="0"/>
            </w:pPr>
          </w:p>
        </w:tc>
        <w:tc>
          <w:tcPr>
            <w:tcW w:w="1872" w:type="dxa"/>
            <w:gridSpan w:val="3"/>
          </w:tcPr>
          <w:p w14:paraId="1D0A452F" w14:textId="77777777" w:rsidR="00353EEB" w:rsidRDefault="00353EEB" w:rsidP="001B46F4">
            <w:pPr>
              <w:pStyle w:val="TableInnerSideHeading"/>
            </w:pPr>
            <w:r>
              <w:rPr>
                <w:rFonts w:hint="cs"/>
                <w:rtl/>
              </w:rPr>
              <w:t>ביצוע ותקנות</w:t>
            </w:r>
          </w:p>
        </w:tc>
        <w:tc>
          <w:tcPr>
            <w:tcW w:w="624" w:type="dxa"/>
          </w:tcPr>
          <w:p w14:paraId="2E0CDF49" w14:textId="77777777" w:rsidR="00353EEB" w:rsidRDefault="00353EEB" w:rsidP="001B46F4">
            <w:pPr>
              <w:pStyle w:val="TableText"/>
            </w:pPr>
            <w:r>
              <w:rPr>
                <w:rtl/>
              </w:rPr>
              <w:t>3א6.</w:t>
            </w:r>
          </w:p>
        </w:tc>
        <w:tc>
          <w:tcPr>
            <w:tcW w:w="4649" w:type="dxa"/>
            <w:gridSpan w:val="3"/>
          </w:tcPr>
          <w:p w14:paraId="3EDECABD" w14:textId="2F6525BD" w:rsidR="00353EEB" w:rsidRDefault="00353EEB" w:rsidP="00711C10">
            <w:pPr>
              <w:pStyle w:val="TableBlock"/>
            </w:pPr>
            <w:r>
              <w:rPr>
                <w:rFonts w:hint="cs"/>
                <w:rtl/>
              </w:rPr>
              <w:t>(א)</w:t>
            </w:r>
            <w:r>
              <w:rPr>
                <w:rtl/>
              </w:rPr>
              <w:tab/>
            </w:r>
            <w:r w:rsidRPr="002B5B60">
              <w:rPr>
                <w:rtl/>
              </w:rPr>
              <w:t>השר</w:t>
            </w:r>
            <w:r>
              <w:rPr>
                <w:rtl/>
              </w:rPr>
              <w:t xml:space="preserve"> לב</w:t>
            </w:r>
            <w:r>
              <w:rPr>
                <w:rFonts w:hint="cs"/>
                <w:rtl/>
              </w:rPr>
              <w:t>י</w:t>
            </w:r>
            <w:r>
              <w:rPr>
                <w:rtl/>
              </w:rPr>
              <w:t xml:space="preserve">טחון </w:t>
            </w:r>
            <w:r w:rsidR="009A73A5">
              <w:rPr>
                <w:rFonts w:hint="cs"/>
                <w:rtl/>
              </w:rPr>
              <w:t>ה</w:t>
            </w:r>
            <w:r>
              <w:rPr>
                <w:rtl/>
              </w:rPr>
              <w:t>פנים</w:t>
            </w:r>
            <w:r w:rsidRPr="002B5B60">
              <w:rPr>
                <w:rtl/>
              </w:rPr>
              <w:t>, בהסכמת שר המשפטים, רשאי להתקין תקנות בכל עניין הנוגע לביצועו של סימן זה.</w:t>
            </w:r>
          </w:p>
        </w:tc>
      </w:tr>
      <w:tr w:rsidR="00353EEB" w14:paraId="6A71C5A4" w14:textId="77777777" w:rsidTr="005D53FC">
        <w:trPr>
          <w:cantSplit/>
        </w:trPr>
        <w:tc>
          <w:tcPr>
            <w:tcW w:w="1869" w:type="dxa"/>
          </w:tcPr>
          <w:p w14:paraId="20643BF0" w14:textId="77777777" w:rsidR="00353EEB" w:rsidRDefault="00353EEB" w:rsidP="001B46F4">
            <w:pPr>
              <w:pStyle w:val="TableSideHeading"/>
              <w:keepLines w:val="0"/>
            </w:pPr>
          </w:p>
        </w:tc>
        <w:tc>
          <w:tcPr>
            <w:tcW w:w="624" w:type="dxa"/>
          </w:tcPr>
          <w:p w14:paraId="405C274D" w14:textId="77777777" w:rsidR="00353EEB" w:rsidRDefault="00353EEB" w:rsidP="001B46F4">
            <w:pPr>
              <w:pStyle w:val="TableText"/>
              <w:keepLines w:val="0"/>
            </w:pPr>
          </w:p>
        </w:tc>
        <w:tc>
          <w:tcPr>
            <w:tcW w:w="1872" w:type="dxa"/>
            <w:gridSpan w:val="3"/>
          </w:tcPr>
          <w:p w14:paraId="2A5C88E5" w14:textId="77777777" w:rsidR="00353EEB" w:rsidRDefault="00353EEB" w:rsidP="001B46F4">
            <w:pPr>
              <w:pStyle w:val="TableInnerSideHeading"/>
            </w:pPr>
          </w:p>
        </w:tc>
        <w:tc>
          <w:tcPr>
            <w:tcW w:w="624" w:type="dxa"/>
          </w:tcPr>
          <w:p w14:paraId="3AFC7D74" w14:textId="77777777" w:rsidR="00353EEB" w:rsidRDefault="00353EEB" w:rsidP="001B46F4">
            <w:pPr>
              <w:pStyle w:val="TableText"/>
            </w:pPr>
          </w:p>
        </w:tc>
        <w:tc>
          <w:tcPr>
            <w:tcW w:w="4649" w:type="dxa"/>
            <w:gridSpan w:val="3"/>
          </w:tcPr>
          <w:p w14:paraId="036590D4" w14:textId="79FA62CF" w:rsidR="00353EEB" w:rsidRDefault="00353EEB" w:rsidP="003016B1">
            <w:pPr>
              <w:pStyle w:val="TableBlock"/>
            </w:pPr>
            <w:r>
              <w:rPr>
                <w:rFonts w:hint="cs"/>
                <w:rtl/>
              </w:rPr>
              <w:t>(ב)</w:t>
            </w:r>
            <w:r>
              <w:rPr>
                <w:rtl/>
              </w:rPr>
              <w:tab/>
            </w:r>
            <w:r w:rsidRPr="002B5B60">
              <w:rPr>
                <w:rtl/>
              </w:rPr>
              <w:t>השר</w:t>
            </w:r>
            <w:r>
              <w:rPr>
                <w:rtl/>
              </w:rPr>
              <w:t xml:space="preserve"> לב</w:t>
            </w:r>
            <w:r>
              <w:rPr>
                <w:rFonts w:hint="cs"/>
                <w:rtl/>
              </w:rPr>
              <w:t>י</w:t>
            </w:r>
            <w:r>
              <w:rPr>
                <w:rtl/>
              </w:rPr>
              <w:t xml:space="preserve">טחון </w:t>
            </w:r>
            <w:r w:rsidR="009A73A5">
              <w:rPr>
                <w:rFonts w:hint="cs"/>
                <w:rtl/>
              </w:rPr>
              <w:t>ה</w:t>
            </w:r>
            <w:r>
              <w:rPr>
                <w:rtl/>
              </w:rPr>
              <w:t>פנים</w:t>
            </w:r>
            <w:r w:rsidRPr="002B5B60">
              <w:rPr>
                <w:rtl/>
              </w:rPr>
              <w:t xml:space="preserve"> יקבע בנהלים את אופן פעולתה של החברה המפעילה </w:t>
            </w:r>
            <w:r w:rsidRPr="009329AA">
              <w:rPr>
                <w:rtl/>
              </w:rPr>
              <w:t>ו</w:t>
            </w:r>
            <w:r w:rsidR="009A73A5" w:rsidRPr="009329AA">
              <w:rPr>
                <w:rFonts w:hint="eastAsia"/>
                <w:rtl/>
              </w:rPr>
              <w:t>בתקנות</w:t>
            </w:r>
            <w:r w:rsidR="009A73A5" w:rsidRPr="009329AA">
              <w:rPr>
                <w:rtl/>
              </w:rPr>
              <w:t xml:space="preserve"> את אופן פעולתה </w:t>
            </w:r>
            <w:r w:rsidRPr="001963DF">
              <w:rPr>
                <w:rtl/>
              </w:rPr>
              <w:t>של משטרת ישראל</w:t>
            </w:r>
            <w:r w:rsidR="009329AA">
              <w:rPr>
                <w:rFonts w:hint="cs"/>
                <w:rtl/>
              </w:rPr>
              <w:t>,</w:t>
            </w:r>
            <w:r w:rsidRPr="002B5B60">
              <w:rPr>
                <w:rtl/>
              </w:rPr>
              <w:t xml:space="preserve"> כאשר עולה מנתוני הניטור כי מופר צו הגנה ובכלל זה פעולות המשטרה שיבוצעו, מסגרת הזמנים לפעולה מרגע ניטור ההפרה ואופן ההתרעה שיינתן לבן המשפחה המוגן ביחס להפרה.</w:t>
            </w:r>
          </w:p>
        </w:tc>
      </w:tr>
      <w:tr w:rsidR="00353EEB" w14:paraId="503A56A0" w14:textId="77777777" w:rsidTr="005D53FC">
        <w:trPr>
          <w:cantSplit/>
        </w:trPr>
        <w:tc>
          <w:tcPr>
            <w:tcW w:w="1869" w:type="dxa"/>
          </w:tcPr>
          <w:p w14:paraId="29B8205D" w14:textId="77777777" w:rsidR="00353EEB" w:rsidRDefault="00353EEB" w:rsidP="001B46F4">
            <w:pPr>
              <w:pStyle w:val="TableSideHeading"/>
              <w:keepLines w:val="0"/>
            </w:pPr>
          </w:p>
        </w:tc>
        <w:tc>
          <w:tcPr>
            <w:tcW w:w="624" w:type="dxa"/>
          </w:tcPr>
          <w:p w14:paraId="17BE45F6" w14:textId="77777777" w:rsidR="00353EEB" w:rsidRDefault="00353EEB" w:rsidP="001B46F4">
            <w:pPr>
              <w:pStyle w:val="TableText"/>
              <w:keepLines w:val="0"/>
            </w:pPr>
          </w:p>
        </w:tc>
        <w:tc>
          <w:tcPr>
            <w:tcW w:w="1872" w:type="dxa"/>
            <w:gridSpan w:val="3"/>
          </w:tcPr>
          <w:p w14:paraId="798EAE5A" w14:textId="77777777" w:rsidR="00353EEB" w:rsidRDefault="00353EEB" w:rsidP="001B46F4">
            <w:pPr>
              <w:pStyle w:val="TableInnerSideHeading"/>
            </w:pPr>
          </w:p>
        </w:tc>
        <w:tc>
          <w:tcPr>
            <w:tcW w:w="624" w:type="dxa"/>
          </w:tcPr>
          <w:p w14:paraId="71C3B78A" w14:textId="77777777" w:rsidR="00353EEB" w:rsidRDefault="00353EEB" w:rsidP="001B46F4">
            <w:pPr>
              <w:pStyle w:val="TableText"/>
            </w:pPr>
          </w:p>
        </w:tc>
        <w:tc>
          <w:tcPr>
            <w:tcW w:w="4649" w:type="dxa"/>
            <w:gridSpan w:val="3"/>
          </w:tcPr>
          <w:p w14:paraId="7C652B48" w14:textId="54DC8E6F" w:rsidR="00353EEB" w:rsidRDefault="00353EEB" w:rsidP="00711C10">
            <w:pPr>
              <w:pStyle w:val="TableBlock"/>
            </w:pPr>
            <w:r>
              <w:rPr>
                <w:rFonts w:hint="cs"/>
                <w:rtl/>
              </w:rPr>
              <w:t>(ג)</w:t>
            </w:r>
            <w:r>
              <w:rPr>
                <w:rtl/>
              </w:rPr>
              <w:tab/>
            </w:r>
            <w:r w:rsidRPr="002B5B60">
              <w:rPr>
                <w:rtl/>
              </w:rPr>
              <w:t xml:space="preserve">השר </w:t>
            </w:r>
            <w:r>
              <w:rPr>
                <w:rtl/>
              </w:rPr>
              <w:t>לב</w:t>
            </w:r>
            <w:r>
              <w:rPr>
                <w:rFonts w:hint="cs"/>
                <w:rtl/>
              </w:rPr>
              <w:t>י</w:t>
            </w:r>
            <w:r>
              <w:rPr>
                <w:rtl/>
              </w:rPr>
              <w:t xml:space="preserve">טחון </w:t>
            </w:r>
            <w:r w:rsidR="009A73A5">
              <w:rPr>
                <w:rFonts w:hint="cs"/>
                <w:rtl/>
              </w:rPr>
              <w:t>ה</w:t>
            </w:r>
            <w:r>
              <w:rPr>
                <w:rtl/>
              </w:rPr>
              <w:t xml:space="preserve">פנים </w:t>
            </w:r>
            <w:r w:rsidRPr="002B5B60">
              <w:rPr>
                <w:rtl/>
              </w:rPr>
              <w:t>ידווח לוועדת החוקה, חוק ומשפט של הכנסת, מדי שנה, על מספר המפוקחים ובני המשפחה המוגנים שחוק זה הופעל בעניינם, מספר המפוקחים שבהתאם לנתוני הניטור הפרו צו בית ה</w:t>
            </w:r>
            <w:r>
              <w:rPr>
                <w:rtl/>
              </w:rPr>
              <w:t>משפט והפעולות שננקטו במקרים אלו</w:t>
            </w:r>
            <w:r>
              <w:rPr>
                <w:rFonts w:hint="cs"/>
                <w:rtl/>
              </w:rPr>
              <w:t>.</w:t>
            </w:r>
            <w:r w:rsidR="00033A17">
              <w:rPr>
                <w:rFonts w:hint="cs"/>
                <w:rtl/>
              </w:rPr>
              <w:t>"</w:t>
            </w:r>
          </w:p>
        </w:tc>
      </w:tr>
      <w:tr w:rsidR="00353EEB" w14:paraId="242254C3" w14:textId="77777777" w:rsidTr="005D53FC">
        <w:trPr>
          <w:cantSplit/>
        </w:trPr>
        <w:tc>
          <w:tcPr>
            <w:tcW w:w="1869" w:type="dxa"/>
          </w:tcPr>
          <w:p w14:paraId="691A207F" w14:textId="77777777" w:rsidR="00353EEB" w:rsidRDefault="00353EEB" w:rsidP="001B46F4">
            <w:pPr>
              <w:pStyle w:val="TableSideHeading"/>
              <w:keepLines w:val="0"/>
            </w:pPr>
            <w:r>
              <w:rPr>
                <w:rtl/>
              </w:rPr>
              <w:t>תיקון סעיף 4</w:t>
            </w:r>
          </w:p>
        </w:tc>
        <w:tc>
          <w:tcPr>
            <w:tcW w:w="624" w:type="dxa"/>
          </w:tcPr>
          <w:p w14:paraId="2A5DA951" w14:textId="77777777" w:rsidR="00353EEB" w:rsidRDefault="00353EEB" w:rsidP="001B46F4">
            <w:pPr>
              <w:pStyle w:val="TableText"/>
              <w:keepLines w:val="0"/>
            </w:pPr>
            <w:r>
              <w:rPr>
                <w:rFonts w:hint="cs"/>
                <w:rtl/>
              </w:rPr>
              <w:t>3.</w:t>
            </w:r>
          </w:p>
        </w:tc>
        <w:tc>
          <w:tcPr>
            <w:tcW w:w="7145" w:type="dxa"/>
            <w:gridSpan w:val="7"/>
          </w:tcPr>
          <w:p w14:paraId="66354198" w14:textId="77777777" w:rsidR="00353EEB" w:rsidRPr="00C34DE2" w:rsidRDefault="00353EEB" w:rsidP="001963DF">
            <w:pPr>
              <w:pStyle w:val="TableBlock"/>
            </w:pPr>
            <w:r w:rsidRPr="002B5B60">
              <w:rPr>
                <w:rtl/>
              </w:rPr>
              <w:t xml:space="preserve">אחרי סעיף </w:t>
            </w:r>
            <w:r>
              <w:rPr>
                <w:rtl/>
              </w:rPr>
              <w:t>4(ד)</w:t>
            </w:r>
            <w:r w:rsidRPr="002B5B60">
              <w:rPr>
                <w:rtl/>
              </w:rPr>
              <w:t xml:space="preserve"> </w:t>
            </w:r>
            <w:r>
              <w:rPr>
                <w:rtl/>
              </w:rPr>
              <w:t xml:space="preserve">לחוק העיקרי </w:t>
            </w:r>
            <w:r w:rsidRPr="002B5B60">
              <w:rPr>
                <w:rtl/>
              </w:rPr>
              <w:t>יבוא:</w:t>
            </w:r>
            <w:r w:rsidDel="00D431C7">
              <w:rPr>
                <w:rtl/>
              </w:rPr>
              <w:t xml:space="preserve"> </w:t>
            </w:r>
            <w:r>
              <w:rPr>
                <w:rtl/>
              </w:rPr>
              <w:t xml:space="preserve"> </w:t>
            </w:r>
          </w:p>
        </w:tc>
      </w:tr>
      <w:tr w:rsidR="00CF6896" w14:paraId="24DD9D8B" w14:textId="77777777" w:rsidTr="004647B0">
        <w:trPr>
          <w:cantSplit/>
        </w:trPr>
        <w:tc>
          <w:tcPr>
            <w:tcW w:w="1869" w:type="dxa"/>
          </w:tcPr>
          <w:p w14:paraId="541A8FEF" w14:textId="77777777" w:rsidR="00CF6896" w:rsidRDefault="00CF6896" w:rsidP="001B46F4">
            <w:pPr>
              <w:pStyle w:val="TableSideHeading"/>
            </w:pPr>
          </w:p>
        </w:tc>
        <w:tc>
          <w:tcPr>
            <w:tcW w:w="624" w:type="dxa"/>
          </w:tcPr>
          <w:p w14:paraId="1A10AE86" w14:textId="77777777" w:rsidR="00CF6896" w:rsidRDefault="00CF6896" w:rsidP="001B46F4">
            <w:pPr>
              <w:pStyle w:val="TableText"/>
            </w:pPr>
          </w:p>
        </w:tc>
        <w:tc>
          <w:tcPr>
            <w:tcW w:w="7145" w:type="dxa"/>
            <w:gridSpan w:val="7"/>
          </w:tcPr>
          <w:p w14:paraId="70FFEABF" w14:textId="03EA76CF" w:rsidR="00CF6896" w:rsidRDefault="00CF6896" w:rsidP="00711C10">
            <w:pPr>
              <w:pStyle w:val="TableBlock"/>
            </w:pPr>
            <w:r>
              <w:rPr>
                <w:rFonts w:hint="cs"/>
                <w:rtl/>
              </w:rPr>
              <w:t>"(ה)</w:t>
            </w:r>
            <w:r>
              <w:rPr>
                <w:rtl/>
              </w:rPr>
              <w:tab/>
            </w:r>
            <w:r>
              <w:t xml:space="preserve"> </w:t>
            </w:r>
            <w:r w:rsidRPr="0051412C">
              <w:rPr>
                <w:rtl/>
              </w:rPr>
              <w:t xml:space="preserve">צו </w:t>
            </w:r>
            <w:r>
              <w:rPr>
                <w:rtl/>
              </w:rPr>
              <w:t>הגנה בתנאי פיקוח אלקטרוני</w:t>
            </w:r>
            <w:r w:rsidRPr="0051412C">
              <w:rPr>
                <w:rtl/>
              </w:rPr>
              <w:t xml:space="preserve"> יינתן רק במעמד שני הצדדים, אלא אם כן הוזמן המשיב כדין ולא התייצב לדיון</w:t>
            </w:r>
            <w:r w:rsidR="00033A17">
              <w:rPr>
                <w:rFonts w:hint="cs"/>
                <w:rtl/>
              </w:rPr>
              <w:t>.</w:t>
            </w:r>
            <w:r>
              <w:rPr>
                <w:rFonts w:hint="cs"/>
                <w:rtl/>
              </w:rPr>
              <w:t>"</w:t>
            </w:r>
          </w:p>
        </w:tc>
      </w:tr>
      <w:tr w:rsidR="00353EEB" w14:paraId="2907DE41" w14:textId="77777777" w:rsidTr="005D53FC">
        <w:trPr>
          <w:cantSplit/>
        </w:trPr>
        <w:tc>
          <w:tcPr>
            <w:tcW w:w="1869" w:type="dxa"/>
          </w:tcPr>
          <w:p w14:paraId="64F1B695" w14:textId="77777777" w:rsidR="00353EEB" w:rsidRDefault="00353EEB" w:rsidP="001B46F4">
            <w:pPr>
              <w:pStyle w:val="TableSideHeading"/>
              <w:rPr>
                <w:rtl/>
              </w:rPr>
            </w:pPr>
            <w:r>
              <w:rPr>
                <w:rtl/>
              </w:rPr>
              <w:t>תיקון</w:t>
            </w:r>
            <w:r w:rsidRPr="002B5B60">
              <w:rPr>
                <w:rtl/>
              </w:rPr>
              <w:t xml:space="preserve"> סעיף 7</w:t>
            </w:r>
          </w:p>
        </w:tc>
        <w:tc>
          <w:tcPr>
            <w:tcW w:w="624" w:type="dxa"/>
          </w:tcPr>
          <w:p w14:paraId="27F67136" w14:textId="77777777" w:rsidR="00353EEB" w:rsidRDefault="00353EEB" w:rsidP="001B46F4">
            <w:pPr>
              <w:pStyle w:val="TableText"/>
            </w:pPr>
            <w:r>
              <w:rPr>
                <w:rFonts w:hint="cs"/>
                <w:rtl/>
              </w:rPr>
              <w:t>4.</w:t>
            </w:r>
          </w:p>
        </w:tc>
        <w:tc>
          <w:tcPr>
            <w:tcW w:w="7145" w:type="dxa"/>
            <w:gridSpan w:val="7"/>
          </w:tcPr>
          <w:p w14:paraId="3461DA7E" w14:textId="6B3A1636" w:rsidR="00353EEB" w:rsidRPr="002B5B60" w:rsidRDefault="00623D93" w:rsidP="00033A17">
            <w:pPr>
              <w:pStyle w:val="TableBlock"/>
              <w:rPr>
                <w:rtl/>
              </w:rPr>
            </w:pPr>
            <w:r>
              <w:rPr>
                <w:rFonts w:hint="cs"/>
                <w:rtl/>
              </w:rPr>
              <w:t>ב</w:t>
            </w:r>
            <w:r w:rsidR="00353EEB">
              <w:rPr>
                <w:rtl/>
              </w:rPr>
              <w:t>סעיף 7(ב)</w:t>
            </w:r>
            <w:r>
              <w:rPr>
                <w:rFonts w:hint="cs"/>
                <w:rtl/>
              </w:rPr>
              <w:t>, בס</w:t>
            </w:r>
            <w:r w:rsidR="00BA6CBD">
              <w:rPr>
                <w:rFonts w:hint="cs"/>
                <w:rtl/>
              </w:rPr>
              <w:t>ופו יבוא</w:t>
            </w:r>
            <w:r w:rsidR="00033A17">
              <w:rPr>
                <w:rFonts w:hint="cs"/>
                <w:rtl/>
              </w:rPr>
              <w:t xml:space="preserve"> "</w:t>
            </w:r>
            <w:r w:rsidR="00033A17" w:rsidRPr="002B5B60">
              <w:rPr>
                <w:rtl/>
              </w:rPr>
              <w:t xml:space="preserve">הפרה של צו הגנה בהתאם לנתוני הפיקוח האלקטרוני שאומתה על ידי שוטר </w:t>
            </w:r>
            <w:r w:rsidR="00033A17">
              <w:rPr>
                <w:rtl/>
              </w:rPr>
              <w:t>עם</w:t>
            </w:r>
            <w:r w:rsidR="00033A17" w:rsidRPr="002B5B60">
              <w:rPr>
                <w:rtl/>
              </w:rPr>
              <w:t xml:space="preserve"> בן המשפחה המוגן</w:t>
            </w:r>
            <w:r w:rsidR="00033A17">
              <w:rPr>
                <w:rtl/>
              </w:rPr>
              <w:t>,</w:t>
            </w:r>
            <w:r w:rsidR="00033A17" w:rsidRPr="002B5B60">
              <w:rPr>
                <w:rtl/>
              </w:rPr>
              <w:t xml:space="preserve"> תהא שקולה להגשת תלונה במשטרה על הפרת צו הגנה</w:t>
            </w:r>
            <w:r w:rsidR="00033A17">
              <w:rPr>
                <w:rFonts w:hint="cs"/>
                <w:rtl/>
              </w:rPr>
              <w:t>".</w:t>
            </w:r>
          </w:p>
        </w:tc>
      </w:tr>
    </w:tbl>
    <w:p w14:paraId="7F6961CA" w14:textId="77777777" w:rsidR="002D1EE3" w:rsidRPr="00F718E5" w:rsidRDefault="002D1EE3" w:rsidP="007F5A3E">
      <w:pPr>
        <w:pStyle w:val="HeadDivreiHesber"/>
        <w:rPr>
          <w:bCs/>
          <w:rtl/>
        </w:rPr>
      </w:pPr>
      <w:r w:rsidRPr="00F718E5">
        <w:rPr>
          <w:rFonts w:hint="cs"/>
          <w:rtl/>
        </w:rPr>
        <w:t>דברי הסבר</w:t>
      </w:r>
    </w:p>
    <w:p w14:paraId="7BC84392" w14:textId="459232D2" w:rsidR="00545D23" w:rsidRPr="003016B1" w:rsidRDefault="00545D23" w:rsidP="00E36B6F">
      <w:pPr>
        <w:pStyle w:val="Hesber"/>
        <w:spacing w:line="276" w:lineRule="auto"/>
        <w:rPr>
          <w:rtl/>
        </w:rPr>
      </w:pPr>
      <w:r w:rsidRPr="003016B1">
        <w:rPr>
          <w:rtl/>
        </w:rPr>
        <w:t xml:space="preserve">אחת ממטרותיו של החוק למניעת אלימות במשפחה בכלל, ושל צו ההגנה בפרט, </w:t>
      </w:r>
      <w:r w:rsidR="003016B1" w:rsidRPr="003016B1">
        <w:rPr>
          <w:rtl/>
        </w:rPr>
        <w:t>ה</w:t>
      </w:r>
      <w:r w:rsidR="003016B1">
        <w:rPr>
          <w:rFonts w:hint="cs"/>
          <w:rtl/>
        </w:rPr>
        <w:t>יא</w:t>
      </w:r>
      <w:r w:rsidR="003016B1" w:rsidRPr="003016B1">
        <w:rPr>
          <w:rtl/>
        </w:rPr>
        <w:t xml:space="preserve"> </w:t>
      </w:r>
      <w:r w:rsidRPr="003016B1">
        <w:rPr>
          <w:rtl/>
        </w:rPr>
        <w:t>ל</w:t>
      </w:r>
      <w:r w:rsidR="009329AA">
        <w:rPr>
          <w:rFonts w:hint="cs"/>
          <w:rtl/>
        </w:rPr>
        <w:t>ספק</w:t>
      </w:r>
      <w:r w:rsidRPr="003016B1">
        <w:rPr>
          <w:rtl/>
        </w:rPr>
        <w:t xml:space="preserve"> סעד מידי לבני משפחה החשופים לאלימות מאת בני משפחתם, אשר ישמור על ביטחונם ועל תקינות אורח חייהם.</w:t>
      </w:r>
    </w:p>
    <w:p w14:paraId="4CD53060" w14:textId="5BEC60F2" w:rsidR="00545D23" w:rsidRPr="003016B1" w:rsidRDefault="00545D23" w:rsidP="00E36B6F">
      <w:pPr>
        <w:pStyle w:val="Hesber"/>
        <w:spacing w:line="276" w:lineRule="auto"/>
        <w:rPr>
          <w:rtl/>
        </w:rPr>
      </w:pPr>
      <w:r w:rsidRPr="003016B1">
        <w:rPr>
          <w:rtl/>
        </w:rPr>
        <w:t xml:space="preserve">בהתאם לסעיף 287(ב) לחוק העונשין, </w:t>
      </w:r>
      <w:proofErr w:type="spellStart"/>
      <w:r w:rsidRPr="003016B1">
        <w:rPr>
          <w:rtl/>
        </w:rPr>
        <w:t>התשל"ז</w:t>
      </w:r>
      <w:proofErr w:type="spellEnd"/>
      <w:r w:rsidRPr="003016B1">
        <w:rPr>
          <w:rtl/>
        </w:rPr>
        <w:t>–1977, הפרת צו הגנה הי</w:t>
      </w:r>
      <w:r w:rsidR="00033A17">
        <w:rPr>
          <w:rFonts w:hint="cs"/>
          <w:rtl/>
        </w:rPr>
        <w:t>א</w:t>
      </w:r>
      <w:r w:rsidRPr="003016B1">
        <w:rPr>
          <w:rtl/>
        </w:rPr>
        <w:t xml:space="preserve"> עבירה פלילית שהעונש המרבי עליה </w:t>
      </w:r>
      <w:r w:rsidR="002F4220" w:rsidRPr="003016B1">
        <w:rPr>
          <w:rtl/>
        </w:rPr>
        <w:t>ה</w:t>
      </w:r>
      <w:r w:rsidR="002F4220" w:rsidRPr="003016B1">
        <w:rPr>
          <w:rFonts w:hint="eastAsia"/>
          <w:rtl/>
        </w:rPr>
        <w:t>וא</w:t>
      </w:r>
      <w:r w:rsidR="002F4220" w:rsidRPr="003016B1">
        <w:rPr>
          <w:rtl/>
        </w:rPr>
        <w:t xml:space="preserve"> </w:t>
      </w:r>
      <w:r w:rsidRPr="003016B1">
        <w:rPr>
          <w:rtl/>
        </w:rPr>
        <w:t xml:space="preserve">4 שנות מאסר. הפרת צו הגנה </w:t>
      </w:r>
      <w:r w:rsidR="00033A17">
        <w:rPr>
          <w:rFonts w:hint="cs"/>
          <w:rtl/>
        </w:rPr>
        <w:t>היא</w:t>
      </w:r>
      <w:r w:rsidRPr="003016B1">
        <w:rPr>
          <w:rtl/>
        </w:rPr>
        <w:t xml:space="preserve"> עילה למעצר, כשתנאי לכך הוא הגשת תלונה במשטרה על ההפרה. אלא שנ</w:t>
      </w:r>
      <w:r w:rsidR="002F4220" w:rsidRPr="003016B1">
        <w:rPr>
          <w:rFonts w:hint="eastAsia"/>
          <w:rtl/>
        </w:rPr>
        <w:t>י</w:t>
      </w:r>
      <w:r w:rsidRPr="003016B1">
        <w:rPr>
          <w:rtl/>
        </w:rPr>
        <w:t xml:space="preserve">סיון החיים מלמד כי צווי הגנה מופרים השכם וערב, ואופן האכיפה שלהם אינו אפקטיבי. </w:t>
      </w:r>
      <w:r w:rsidR="002F4220" w:rsidRPr="003016B1">
        <w:rPr>
          <w:rFonts w:hint="eastAsia"/>
          <w:rtl/>
        </w:rPr>
        <w:t>כך</w:t>
      </w:r>
      <w:r w:rsidR="002F4220" w:rsidRPr="003016B1">
        <w:rPr>
          <w:rtl/>
        </w:rPr>
        <w:t xml:space="preserve"> מוצאים עצמם בני </w:t>
      </w:r>
      <w:r w:rsidRPr="003016B1">
        <w:rPr>
          <w:rtl/>
        </w:rPr>
        <w:t xml:space="preserve">משפחה מוגנים (לרוב – נשים) נפגעים  </w:t>
      </w:r>
      <w:r w:rsidR="002F4220" w:rsidRPr="003016B1">
        <w:rPr>
          <w:rFonts w:hint="eastAsia"/>
          <w:rtl/>
        </w:rPr>
        <w:t>על</w:t>
      </w:r>
      <w:r w:rsidR="002F4220" w:rsidRPr="003016B1">
        <w:rPr>
          <w:rtl/>
        </w:rPr>
        <w:t xml:space="preserve"> ידי בני משפחתם, </w:t>
      </w:r>
      <w:r w:rsidRPr="003016B1">
        <w:rPr>
          <w:rtl/>
        </w:rPr>
        <w:t>וזא</w:t>
      </w:r>
      <w:r w:rsidR="002F4220" w:rsidRPr="003016B1">
        <w:rPr>
          <w:rFonts w:hint="eastAsia"/>
          <w:rtl/>
        </w:rPr>
        <w:t>ת</w:t>
      </w:r>
      <w:r w:rsidR="002F4220" w:rsidRPr="003016B1">
        <w:rPr>
          <w:rtl/>
        </w:rPr>
        <w:t xml:space="preserve"> </w:t>
      </w:r>
      <w:r w:rsidR="002F4220" w:rsidRPr="003016B1">
        <w:rPr>
          <w:rFonts w:hint="eastAsia"/>
          <w:rtl/>
        </w:rPr>
        <w:t>על</w:t>
      </w:r>
      <w:r w:rsidR="002F4220" w:rsidRPr="003016B1">
        <w:rPr>
          <w:rtl/>
        </w:rPr>
        <w:t xml:space="preserve"> </w:t>
      </w:r>
      <w:r w:rsidR="002F4220" w:rsidRPr="003016B1">
        <w:rPr>
          <w:rFonts w:hint="eastAsia"/>
          <w:rtl/>
        </w:rPr>
        <w:t>אף</w:t>
      </w:r>
      <w:r w:rsidRPr="003016B1">
        <w:rPr>
          <w:rtl/>
        </w:rPr>
        <w:t xml:space="preserve"> הצו</w:t>
      </w:r>
      <w:r w:rsidR="002F4220" w:rsidRPr="003016B1">
        <w:rPr>
          <w:rtl/>
        </w:rPr>
        <w:t xml:space="preserve"> שהוצא כנגדם</w:t>
      </w:r>
      <w:r w:rsidRPr="003016B1">
        <w:rPr>
          <w:rtl/>
        </w:rPr>
        <w:t xml:space="preserve">. </w:t>
      </w:r>
    </w:p>
    <w:p w14:paraId="29ADA1ED" w14:textId="3F60620E" w:rsidR="00545D23" w:rsidRPr="003016B1" w:rsidRDefault="00545D23" w:rsidP="00E36B6F">
      <w:pPr>
        <w:pStyle w:val="Hesber"/>
        <w:spacing w:line="276" w:lineRule="auto"/>
        <w:rPr>
          <w:rtl/>
        </w:rPr>
      </w:pPr>
      <w:r w:rsidRPr="003016B1">
        <w:rPr>
          <w:rtl/>
        </w:rPr>
        <w:t xml:space="preserve">חוסר האפקטיביות של צווי ההגנה נובע בעיקרו מחוסר היכולת לפקח על מי שניתן נגדו צו ההגנה כי הוא אכן עומד בתנאיו, וכן מהעובדה כי ללא הגשת תלונה במשטרה על הפרת צו ההגנה, לא ניתן לעצור את המפר. חוסר </w:t>
      </w:r>
      <w:r w:rsidR="00397060" w:rsidRPr="003016B1">
        <w:rPr>
          <w:rFonts w:hint="eastAsia"/>
          <w:rtl/>
        </w:rPr>
        <w:t>האפקטיביות</w:t>
      </w:r>
      <w:r w:rsidR="00397060" w:rsidRPr="003016B1">
        <w:rPr>
          <w:rtl/>
        </w:rPr>
        <w:t xml:space="preserve"> </w:t>
      </w:r>
      <w:r w:rsidR="00397060" w:rsidRPr="003016B1">
        <w:rPr>
          <w:rFonts w:hint="eastAsia"/>
          <w:rtl/>
        </w:rPr>
        <w:t>של</w:t>
      </w:r>
      <w:r w:rsidR="00397060" w:rsidRPr="003016B1">
        <w:rPr>
          <w:rtl/>
        </w:rPr>
        <w:t xml:space="preserve"> </w:t>
      </w:r>
      <w:r w:rsidR="00397060" w:rsidRPr="003016B1">
        <w:rPr>
          <w:rFonts w:hint="eastAsia"/>
          <w:rtl/>
        </w:rPr>
        <w:t>הפיקוח</w:t>
      </w:r>
      <w:r w:rsidRPr="003016B1">
        <w:rPr>
          <w:rtl/>
        </w:rPr>
        <w:t xml:space="preserve"> </w:t>
      </w:r>
      <w:r w:rsidR="00397060" w:rsidRPr="003016B1">
        <w:rPr>
          <w:rFonts w:hint="eastAsia"/>
          <w:rtl/>
        </w:rPr>
        <w:t>מביאה</w:t>
      </w:r>
      <w:r w:rsidRPr="003016B1">
        <w:rPr>
          <w:rtl/>
        </w:rPr>
        <w:t xml:space="preserve"> להעדר הרתעה מהפרת הצו. אנשים שהוצא כנגדם צו הגנה יודעים כי אין ביכולתה של המשטרה לדעת אם הפרו את הצו אם לאו, </w:t>
      </w:r>
      <w:r w:rsidR="00397060" w:rsidRPr="003016B1">
        <w:rPr>
          <w:rFonts w:hint="eastAsia"/>
          <w:rtl/>
        </w:rPr>
        <w:t>ו</w:t>
      </w:r>
      <w:r w:rsidRPr="003016B1">
        <w:rPr>
          <w:rtl/>
        </w:rPr>
        <w:t>לכן אינם נרתעים מהפרתו. כמו כן, יש לזכור כי במקרים רבים של אלימות בין בני זוג, התלות ומערכת היחסים הרגשית בין בני הזוג אינה מאפשרת לבן הזוג, קורבן מעשי האלימות, לעמוד על זכויותיו. לנשים המצויות במערכת יחסים שכזו לוקח זמן רב עד אשר הן מעזות לדווח על מצבן ולבקש צו הגנה, ולאחר הפרת צו הגנה, הן מוצאות עצמן לעיתים נתונות ללחצים כבדים של בני הזוג האלימים שלא להתלונן על הפר</w:t>
      </w:r>
      <w:r w:rsidR="00397060" w:rsidRPr="003016B1">
        <w:rPr>
          <w:rFonts w:hint="eastAsia"/>
          <w:rtl/>
        </w:rPr>
        <w:t>ת</w:t>
      </w:r>
      <w:r w:rsidRPr="003016B1">
        <w:rPr>
          <w:rtl/>
        </w:rPr>
        <w:t xml:space="preserve"> הצו</w:t>
      </w:r>
      <w:r w:rsidR="00397060" w:rsidRPr="003016B1">
        <w:rPr>
          <w:rtl/>
        </w:rPr>
        <w:t xml:space="preserve">. </w:t>
      </w:r>
      <w:r w:rsidRPr="003016B1">
        <w:rPr>
          <w:rtl/>
        </w:rPr>
        <w:t>במצב עניינים כזה לא ניתן לעצור את המפר או לטפל בו שכן המשטרה וגורמי הרווחה כלל אינם מודעים להפרתו של צו ההגנה. בעייתיות נוספת</w:t>
      </w:r>
      <w:r w:rsidR="00397060" w:rsidRPr="003016B1">
        <w:rPr>
          <w:rtl/>
        </w:rPr>
        <w:t xml:space="preserve"> הקיימת כיום</w:t>
      </w:r>
      <w:r w:rsidRPr="003016B1">
        <w:rPr>
          <w:rtl/>
        </w:rPr>
        <w:t xml:space="preserve"> במנגנון צו ההגנה ה</w:t>
      </w:r>
      <w:r w:rsidR="00397060" w:rsidRPr="003016B1">
        <w:rPr>
          <w:rFonts w:hint="eastAsia"/>
          <w:rtl/>
        </w:rPr>
        <w:t>יא</w:t>
      </w:r>
      <w:r w:rsidRPr="003016B1">
        <w:rPr>
          <w:rtl/>
        </w:rPr>
        <w:t xml:space="preserve"> שבמקרים רבים אין ראיות להפרת הצו, פרט לעדותם של הצדדים עצמם. מדובר "במילה שלו מול המילה שלה" ובית המשפט מתקשה להכריע בין הגרסאות. מהדברים האמורים עולה כי צו ההגנה הקיים בישראל היום</w:t>
      </w:r>
      <w:r w:rsidR="00397060" w:rsidRPr="003016B1">
        <w:rPr>
          <w:rtl/>
        </w:rPr>
        <w:t xml:space="preserve"> </w:t>
      </w:r>
      <w:r w:rsidR="00397060" w:rsidRPr="003016B1">
        <w:rPr>
          <w:rFonts w:hint="eastAsia"/>
          <w:rtl/>
        </w:rPr>
        <w:t>אינו</w:t>
      </w:r>
      <w:r w:rsidRPr="003016B1">
        <w:rPr>
          <w:rtl/>
        </w:rPr>
        <w:t xml:space="preserve"> יעיל </w:t>
      </w:r>
      <w:r w:rsidR="00397060" w:rsidRPr="003016B1">
        <w:rPr>
          <w:rFonts w:hint="eastAsia"/>
          <w:rtl/>
        </w:rPr>
        <w:t>ב</w:t>
      </w:r>
      <w:r w:rsidRPr="003016B1">
        <w:rPr>
          <w:rtl/>
        </w:rPr>
        <w:t>הגנה על נפגעי ונפגעות אלימות במשפחה.</w:t>
      </w:r>
    </w:p>
    <w:p w14:paraId="0529CCC7" w14:textId="16D9FEDD" w:rsidR="00545D23" w:rsidRPr="003016B1" w:rsidRDefault="00545D23" w:rsidP="00E36B6F">
      <w:pPr>
        <w:pStyle w:val="Hesber"/>
        <w:spacing w:line="276" w:lineRule="auto"/>
        <w:rPr>
          <w:rtl/>
        </w:rPr>
      </w:pPr>
      <w:r w:rsidRPr="003016B1">
        <w:rPr>
          <w:rtl/>
        </w:rPr>
        <w:lastRenderedPageBreak/>
        <w:t xml:space="preserve">על מנת להגדיל את יעילותו של צו ההגנה, מוצע לתקן את החוק למניעת אלימות במשפחה, </w:t>
      </w:r>
      <w:proofErr w:type="spellStart"/>
      <w:r w:rsidRPr="003016B1">
        <w:rPr>
          <w:rtl/>
        </w:rPr>
        <w:t>התשנ"א</w:t>
      </w:r>
      <w:proofErr w:type="spellEnd"/>
      <w:r w:rsidRPr="003016B1">
        <w:rPr>
          <w:rtl/>
        </w:rPr>
        <w:t>–1991, כך שיקנה לבית המשפט את הסמכות להורות על מתן צו הגנה בתנאי פיקוח אלקטרוני. מדובר ב</w:t>
      </w:r>
      <w:r w:rsidR="00F718E5">
        <w:rPr>
          <w:rFonts w:hint="cs"/>
          <w:rtl/>
        </w:rPr>
        <w:t>הליך</w:t>
      </w:r>
      <w:r w:rsidRPr="003016B1">
        <w:rPr>
          <w:rtl/>
        </w:rPr>
        <w:t xml:space="preserve"> שקי</w:t>
      </w:r>
      <w:r w:rsidR="00F718E5">
        <w:rPr>
          <w:rFonts w:hint="cs"/>
          <w:rtl/>
        </w:rPr>
        <w:t>ים</w:t>
      </w:r>
      <w:r w:rsidRPr="003016B1">
        <w:rPr>
          <w:rtl/>
        </w:rPr>
        <w:t xml:space="preserve"> באירופה ובארה"ב, ומסייע בהתמודדות עם אלימות במשפחה. באמצעות קיום פיקוח אלקטרוני ניתן יהיה לפקח על מי שניתן כנגדו צו ההגנה כי אכן הוא עומד בתנאי הצו, וכן במקרה של הפרת הצו שאומתה על ידי שוטר, לא יהא צורך בהגשת תלונה במשטרה כדי להפעיל הליכי מעצר כנגד המפר. הפיקוח האלקטרוני יגדיל את אפקט ההרתעה, וכן יאפשר למשטרה לדעת אם הופר הצו, אם לאו.  מהנ</w:t>
      </w:r>
      <w:r w:rsidR="00397060" w:rsidRPr="003016B1">
        <w:rPr>
          <w:rFonts w:hint="eastAsia"/>
          <w:rtl/>
        </w:rPr>
        <w:t>י</w:t>
      </w:r>
      <w:r w:rsidRPr="003016B1">
        <w:rPr>
          <w:rtl/>
        </w:rPr>
        <w:t xml:space="preserve">סיון של הפעלת פיקוח אלקטרוני על בני זוג אלימים בארה"ב ובאירופה ניתן ללמוד שפיקוח כאמור מגדיל את אפקט ההרתעה של צו ההגנה ומפחית את מספר ההפרות. </w:t>
      </w:r>
    </w:p>
    <w:p w14:paraId="2FA1B34E" w14:textId="70EAA9FB" w:rsidR="00545D23" w:rsidRPr="003016B1" w:rsidRDefault="00545D23" w:rsidP="00E36B6F">
      <w:pPr>
        <w:pStyle w:val="Hesber"/>
        <w:spacing w:line="276" w:lineRule="auto"/>
        <w:rPr>
          <w:rtl/>
        </w:rPr>
      </w:pPr>
      <w:r w:rsidRPr="003016B1">
        <w:rPr>
          <w:rtl/>
        </w:rPr>
        <w:t>ההצעה דנן כוללת שתי אפשרויות פיקוח: פיקוח שנועד לוודא כי המפוקח אינו נכנס לאזור מסוים</w:t>
      </w:r>
      <w:r w:rsidR="00F53427" w:rsidRPr="003016B1">
        <w:rPr>
          <w:rtl/>
        </w:rPr>
        <w:t>,</w:t>
      </w:r>
      <w:r w:rsidRPr="003016B1">
        <w:rPr>
          <w:rtl/>
        </w:rPr>
        <w:t xml:space="preserve"> ופיקוח המוודא כי המפוקח אינו מתקרב לבן המשפחה שלבקשתו הוצא צו ההגנה. האפשרות השנייה דורשת שהן המפוקח והן בן המשפחה יענדו אזיק אלקטרוני (פיקוח בילטרלי), וכפופה להסכמתו של בן המשפחה המוגן.  </w:t>
      </w:r>
    </w:p>
    <w:p w14:paraId="696875F9" w14:textId="0738F2CF" w:rsidR="00545D23" w:rsidRPr="003016B1" w:rsidRDefault="00545D23" w:rsidP="00E36B6F">
      <w:pPr>
        <w:pStyle w:val="Hesber"/>
        <w:spacing w:line="276" w:lineRule="auto"/>
        <w:rPr>
          <w:rtl/>
        </w:rPr>
      </w:pPr>
      <w:r w:rsidRPr="003016B1">
        <w:rPr>
          <w:rtl/>
        </w:rPr>
        <w:t>אין להתעלם מכך שהפעלת פיקוח אלקטרוני על מי שהוצא כנגדו צו הגנה, תגרום לפגיעה בזכויות יסוד של המפוקח, כגון: הזכות לכבוד, הזכות לפרטיות והזכות לשמירה על חזקת החפות, הקבועות בחוק יסוד כבוד האדם וחרותו. אך מנגד, עומדות זכויותיה</w:t>
      </w:r>
      <w:r w:rsidR="00F53427" w:rsidRPr="003016B1">
        <w:rPr>
          <w:rFonts w:hint="eastAsia"/>
          <w:rtl/>
        </w:rPr>
        <w:t>ם</w:t>
      </w:r>
      <w:r w:rsidRPr="003016B1">
        <w:rPr>
          <w:rtl/>
        </w:rPr>
        <w:t xml:space="preserve"> של </w:t>
      </w:r>
      <w:r w:rsidR="00F53427" w:rsidRPr="003016B1">
        <w:rPr>
          <w:rtl/>
        </w:rPr>
        <w:t>נפגע</w:t>
      </w:r>
      <w:r w:rsidR="00F53427" w:rsidRPr="003016B1">
        <w:rPr>
          <w:rFonts w:hint="eastAsia"/>
          <w:rtl/>
        </w:rPr>
        <w:t>י</w:t>
      </w:r>
      <w:r w:rsidR="00F53427" w:rsidRPr="003016B1">
        <w:rPr>
          <w:rtl/>
        </w:rPr>
        <w:t xml:space="preserve"> </w:t>
      </w:r>
      <w:r w:rsidRPr="003016B1">
        <w:rPr>
          <w:rtl/>
        </w:rPr>
        <w:t xml:space="preserve">האלימות – הזכות לחיים, הזכות לשלמות הגוף והזכות לכבוד.  </w:t>
      </w:r>
    </w:p>
    <w:p w14:paraId="6782CBF6" w14:textId="775F2238" w:rsidR="00545D23" w:rsidRPr="003016B1" w:rsidRDefault="00545D23" w:rsidP="00E36B6F">
      <w:pPr>
        <w:pStyle w:val="Hesber"/>
        <w:spacing w:line="276" w:lineRule="auto"/>
        <w:rPr>
          <w:rtl/>
        </w:rPr>
      </w:pPr>
      <w:r w:rsidRPr="003016B1">
        <w:rPr>
          <w:rtl/>
        </w:rPr>
        <w:t>יש לזכור כי במצב הקיים היום הפתרון המוצע לנפגעת אלימות במקרים של חשש להפרת צו הגנה ה</w:t>
      </w:r>
      <w:r w:rsidR="00F718E5">
        <w:rPr>
          <w:rFonts w:hint="cs"/>
          <w:rtl/>
        </w:rPr>
        <w:t>וא</w:t>
      </w:r>
      <w:r w:rsidRPr="003016B1">
        <w:rPr>
          <w:rtl/>
        </w:rPr>
        <w:t xml:space="preserve"> מעבר למקלט לנשים מוכות. פתרון זה פוגע קשות בח</w:t>
      </w:r>
      <w:r w:rsidRPr="003016B1">
        <w:rPr>
          <w:rFonts w:hint="eastAsia"/>
          <w:rtl/>
        </w:rPr>
        <w:t>י</w:t>
      </w:r>
      <w:r w:rsidRPr="003016B1">
        <w:rPr>
          <w:rtl/>
        </w:rPr>
        <w:t>רותה של הא</w:t>
      </w:r>
      <w:r w:rsidR="00F53427" w:rsidRPr="003016B1">
        <w:rPr>
          <w:rFonts w:hint="eastAsia"/>
          <w:rtl/>
        </w:rPr>
        <w:t>י</w:t>
      </w:r>
      <w:r w:rsidRPr="003016B1">
        <w:rPr>
          <w:rtl/>
        </w:rPr>
        <w:t xml:space="preserve">שה וילדיה ובזכויות היסוד שלהם. התיקון המוצע מעביר את הפגיעה בחירות למי שהצו הוצא נגדו, </w:t>
      </w:r>
      <w:r w:rsidRPr="003016B1">
        <w:rPr>
          <w:rFonts w:hint="eastAsia"/>
          <w:rtl/>
        </w:rPr>
        <w:t>במידתיות</w:t>
      </w:r>
      <w:r w:rsidRPr="003016B1">
        <w:rPr>
          <w:rtl/>
        </w:rPr>
        <w:t xml:space="preserve"> </w:t>
      </w:r>
      <w:r w:rsidRPr="003016B1">
        <w:rPr>
          <w:rFonts w:hint="eastAsia"/>
          <w:rtl/>
        </w:rPr>
        <w:t>ו</w:t>
      </w:r>
      <w:r w:rsidRPr="003016B1">
        <w:rPr>
          <w:rtl/>
        </w:rPr>
        <w:t>רק במקרים אשר מתקיימים לגבי</w:t>
      </w:r>
      <w:r w:rsidR="00F718E5">
        <w:rPr>
          <w:rFonts w:hint="cs"/>
          <w:rtl/>
        </w:rPr>
        <w:t>הם</w:t>
      </w:r>
      <w:r w:rsidRPr="003016B1">
        <w:rPr>
          <w:rtl/>
        </w:rPr>
        <w:t xml:space="preserve"> הקריטריונים הכלולים בהצעת החוק.</w:t>
      </w:r>
    </w:p>
    <w:p w14:paraId="1FD79BE6" w14:textId="38A1C65D" w:rsidR="00545D23" w:rsidRPr="003016B1" w:rsidRDefault="00033A17" w:rsidP="00E36B6F">
      <w:pPr>
        <w:pStyle w:val="Hesber"/>
        <w:spacing w:line="276" w:lineRule="auto"/>
        <w:rPr>
          <w:rtl/>
        </w:rPr>
      </w:pPr>
      <w:r>
        <w:rPr>
          <w:rFonts w:hint="cs"/>
          <w:rtl/>
        </w:rPr>
        <w:t>ה</w:t>
      </w:r>
      <w:r w:rsidR="00545D23" w:rsidRPr="003016B1">
        <w:rPr>
          <w:rtl/>
        </w:rPr>
        <w:t>תיקון המוצע</w:t>
      </w:r>
      <w:r>
        <w:rPr>
          <w:rFonts w:hint="cs"/>
          <w:rtl/>
        </w:rPr>
        <w:t xml:space="preserve"> לחוק</w:t>
      </w:r>
      <w:r w:rsidR="00545D23" w:rsidRPr="003016B1">
        <w:rPr>
          <w:rtl/>
        </w:rPr>
        <w:t xml:space="preserve"> עומד במבחנים החוקתיים הנדרשים בחוק יסוד כבוד האדם וחירותו: החקיקה המוצעת נועדה לתכלית ראויה - שמירה על ביטחונן וזכויותיהן החוקתיות של נפגעות אלימות משפחה, וכן הקריטריונים הכלולים בהצעת החוק להפעלת הפיקוח האלקטרוני מאפשרים איזון ראוי בין זכויות מבקש הצו לזכויות מי שהצו מוצא כנגדו. הפיקוח האלקטרוני לא יופעל בכל מקרה בו ניתן צו הגנה, אלא רק במקרה שבו אותו אדם הפר צו הגנה קודם, או הורשע בעבר בעבירות אלימות, או בנסיבות מיוחדות בהן בית המשפט סבור כי פיקוח אלקטרוני הוא הכלי הראוי באותו מקרה, בין היתר בשל מסוכנת מי שהצו הוצא נגדו, ומסיבות מיוחדות שי</w:t>
      </w:r>
      <w:r w:rsidR="006942F0">
        <w:rPr>
          <w:rFonts w:hint="cs"/>
          <w:rtl/>
        </w:rPr>
        <w:t>י</w:t>
      </w:r>
      <w:r w:rsidR="00545D23" w:rsidRPr="003016B1">
        <w:rPr>
          <w:rtl/>
        </w:rPr>
        <w:t xml:space="preserve">רשמו. </w:t>
      </w:r>
    </w:p>
    <w:p w14:paraId="2D847FE0" w14:textId="3A0EEC1C" w:rsidR="00545D23" w:rsidRPr="003016B1" w:rsidRDefault="00545D23" w:rsidP="00E36B6F">
      <w:pPr>
        <w:pStyle w:val="Hesber"/>
        <w:spacing w:line="276" w:lineRule="auto"/>
        <w:rPr>
          <w:rtl/>
        </w:rPr>
      </w:pPr>
      <w:r w:rsidRPr="003016B1">
        <w:rPr>
          <w:rtl/>
        </w:rPr>
        <w:t xml:space="preserve">יודגש, כי התיקון לחוק אינו גורע מסמכותו של בית משפט לעצור עד תום ההליכים אדם שהוצא נגדו צו הגנה ומתנהל נגדו הליך פלילי, </w:t>
      </w:r>
      <w:r w:rsidR="00F718E5">
        <w:rPr>
          <w:rFonts w:hint="cs"/>
          <w:rtl/>
        </w:rPr>
        <w:t xml:space="preserve">אם </w:t>
      </w:r>
      <w:r w:rsidRPr="003016B1">
        <w:rPr>
          <w:rtl/>
        </w:rPr>
        <w:t>מידת מסוכנותו מצדיקה זאת.</w:t>
      </w:r>
    </w:p>
    <w:p w14:paraId="4F2A8C7D" w14:textId="56CF5EAA" w:rsidR="00545D23" w:rsidRPr="003016B1" w:rsidRDefault="00545D23" w:rsidP="00E36B6F">
      <w:pPr>
        <w:pStyle w:val="Hesber"/>
        <w:spacing w:line="276" w:lineRule="auto"/>
        <w:rPr>
          <w:rtl/>
        </w:rPr>
      </w:pPr>
      <w:r w:rsidRPr="003016B1">
        <w:rPr>
          <w:rtl/>
        </w:rPr>
        <w:t>יש לציין כי למדינה יש כיום נ</w:t>
      </w:r>
      <w:r w:rsidR="00F53427" w:rsidRPr="003016B1">
        <w:rPr>
          <w:rFonts w:hint="eastAsia"/>
          <w:rtl/>
        </w:rPr>
        <w:t>י</w:t>
      </w:r>
      <w:r w:rsidRPr="003016B1">
        <w:rPr>
          <w:rtl/>
        </w:rPr>
        <w:t xml:space="preserve">סיון בהפעלת פיקוח אלקטרוני </w:t>
      </w:r>
      <w:r w:rsidR="006942F0">
        <w:rPr>
          <w:rFonts w:hint="cs"/>
          <w:rtl/>
        </w:rPr>
        <w:t>–</w:t>
      </w:r>
      <w:r w:rsidRPr="003016B1">
        <w:rPr>
          <w:rtl/>
        </w:rPr>
        <w:t xml:space="preserve"> בדצמבר 2014 התקבל בכנסת חוק פיקוח אלקטרוני על עצור ועל אסיר משוחרר על תנאי (תיקוני חקיקה)</w:t>
      </w:r>
      <w:r w:rsidR="003A7146">
        <w:rPr>
          <w:rFonts w:hint="cs"/>
          <w:rtl/>
        </w:rPr>
        <w:t>,</w:t>
      </w:r>
      <w:r w:rsidRPr="003016B1">
        <w:rPr>
          <w:rtl/>
        </w:rPr>
        <w:t xml:space="preserve"> </w:t>
      </w:r>
      <w:proofErr w:type="spellStart"/>
      <w:r w:rsidRPr="003016B1">
        <w:rPr>
          <w:rtl/>
        </w:rPr>
        <w:t>התשע"ה</w:t>
      </w:r>
      <w:proofErr w:type="spellEnd"/>
      <w:r w:rsidR="00F53427" w:rsidRPr="003016B1">
        <w:rPr>
          <w:rFonts w:hint="eastAsia"/>
          <w:rtl/>
        </w:rPr>
        <w:t>–</w:t>
      </w:r>
      <w:r w:rsidRPr="003016B1">
        <w:rPr>
          <w:rtl/>
        </w:rPr>
        <w:t>2014, אשר נכנס לתוקף ביוני 2015. החוק עושה שימוש בפיקוח אלקטרוני, למרות שהפיקוח נעשה באופן מעט שונה מזה המוצע כאן.</w:t>
      </w:r>
    </w:p>
    <w:p w14:paraId="2E5C88A1" w14:textId="77777777" w:rsidR="00545D23" w:rsidRPr="003016B1" w:rsidRDefault="00545D23" w:rsidP="00E36B6F">
      <w:pPr>
        <w:pStyle w:val="Hesber"/>
        <w:spacing w:line="276" w:lineRule="auto"/>
        <w:rPr>
          <w:rtl/>
        </w:rPr>
      </w:pPr>
      <w:r w:rsidRPr="001963DF">
        <w:rPr>
          <w:rtl/>
        </w:rPr>
        <w:t>הצעת החוק נכתבה בסיוע המרכז לקידום מעמד האישה על-שם רות ועמנואל רקמן באוניברסיטת בר אילן.</w:t>
      </w:r>
    </w:p>
    <w:p w14:paraId="232EB952" w14:textId="6337300A" w:rsidR="00353EEB" w:rsidRPr="003016B1" w:rsidRDefault="00545D23" w:rsidP="00E36B6F">
      <w:pPr>
        <w:pStyle w:val="Hesber"/>
        <w:spacing w:line="276" w:lineRule="auto"/>
        <w:rPr>
          <w:rtl/>
        </w:rPr>
      </w:pPr>
      <w:r w:rsidRPr="003016B1">
        <w:rPr>
          <w:rtl/>
        </w:rPr>
        <w:t>הצע</w:t>
      </w:r>
      <w:r w:rsidR="007C6138">
        <w:rPr>
          <w:rFonts w:hint="cs"/>
          <w:rtl/>
        </w:rPr>
        <w:t>ו</w:t>
      </w:r>
      <w:r w:rsidRPr="003016B1">
        <w:rPr>
          <w:rtl/>
        </w:rPr>
        <w:t>ת חוק דומ</w:t>
      </w:r>
      <w:r w:rsidR="007C6138">
        <w:rPr>
          <w:rFonts w:hint="cs"/>
          <w:rtl/>
        </w:rPr>
        <w:t>ות</w:t>
      </w:r>
      <w:r w:rsidR="007C6138">
        <w:rPr>
          <w:rtl/>
        </w:rPr>
        <w:t xml:space="preserve"> בעיקר</w:t>
      </w:r>
      <w:r w:rsidR="007C6138">
        <w:rPr>
          <w:rFonts w:hint="cs"/>
          <w:rtl/>
        </w:rPr>
        <w:t xml:space="preserve">ן </w:t>
      </w:r>
      <w:r w:rsidRPr="003016B1">
        <w:rPr>
          <w:rtl/>
        </w:rPr>
        <w:t>הונח</w:t>
      </w:r>
      <w:r w:rsidR="007C6138">
        <w:rPr>
          <w:rFonts w:hint="cs"/>
          <w:rtl/>
        </w:rPr>
        <w:t>ו</w:t>
      </w:r>
      <w:r w:rsidRPr="003016B1">
        <w:rPr>
          <w:rtl/>
        </w:rPr>
        <w:t xml:space="preserve"> על שולחן הכנסת התשע-עשרה על ידי חבר הכנסת דוד צור ו</w:t>
      </w:r>
      <w:r w:rsidR="000F1312">
        <w:rPr>
          <w:rFonts w:hint="cs"/>
          <w:rtl/>
        </w:rPr>
        <w:t xml:space="preserve">קבוצת חברי הכנסת </w:t>
      </w:r>
      <w:r w:rsidRPr="003016B1">
        <w:rPr>
          <w:rtl/>
        </w:rPr>
        <w:t>(</w:t>
      </w:r>
      <w:r w:rsidRPr="001963DF">
        <w:rPr>
          <w:rtl/>
        </w:rPr>
        <w:t>פ/2452/19</w:t>
      </w:r>
      <w:r w:rsidRPr="003016B1">
        <w:rPr>
          <w:rtl/>
        </w:rPr>
        <w:t>)</w:t>
      </w:r>
      <w:r w:rsidR="006942F0">
        <w:rPr>
          <w:rFonts w:hint="cs"/>
          <w:rtl/>
        </w:rPr>
        <w:t>, ו</w:t>
      </w:r>
      <w:r w:rsidR="00353EEB" w:rsidRPr="003016B1">
        <w:rPr>
          <w:rtl/>
        </w:rPr>
        <w:t>על שולחן הכנסת</w:t>
      </w:r>
      <w:r w:rsidR="00353EEB" w:rsidRPr="003016B1">
        <w:rPr>
          <w:rFonts w:hint="cs"/>
          <w:rtl/>
        </w:rPr>
        <w:t xml:space="preserve"> העשרים על ידי חברת הכנסת עליזה לבי</w:t>
      </w:r>
      <w:r w:rsidR="006942F0">
        <w:rPr>
          <w:rFonts w:hint="cs"/>
          <w:rtl/>
        </w:rPr>
        <w:t>א וקבוצת חברי הכנסת (פ/1945/20), ו</w:t>
      </w:r>
      <w:r w:rsidR="00353EEB" w:rsidRPr="003016B1">
        <w:rPr>
          <w:rtl/>
        </w:rPr>
        <w:t xml:space="preserve">על ידי חברת הכנסת </w:t>
      </w:r>
      <w:proofErr w:type="spellStart"/>
      <w:r w:rsidR="00353EEB" w:rsidRPr="003016B1">
        <w:rPr>
          <w:rtl/>
        </w:rPr>
        <w:t>עאידה</w:t>
      </w:r>
      <w:proofErr w:type="spellEnd"/>
      <w:r w:rsidR="00353EEB" w:rsidRPr="003016B1">
        <w:rPr>
          <w:rtl/>
        </w:rPr>
        <w:t xml:space="preserve"> </w:t>
      </w:r>
      <w:proofErr w:type="spellStart"/>
      <w:r w:rsidR="00353EEB" w:rsidRPr="003016B1">
        <w:rPr>
          <w:rtl/>
        </w:rPr>
        <w:t>תומא</w:t>
      </w:r>
      <w:proofErr w:type="spellEnd"/>
      <w:r w:rsidR="00353EEB" w:rsidRPr="003016B1">
        <w:rPr>
          <w:rtl/>
        </w:rPr>
        <w:t xml:space="preserve"> </w:t>
      </w:r>
      <w:proofErr w:type="spellStart"/>
      <w:r w:rsidR="00353EEB" w:rsidRPr="003016B1">
        <w:rPr>
          <w:rtl/>
        </w:rPr>
        <w:t>סלימאן</w:t>
      </w:r>
      <w:proofErr w:type="spellEnd"/>
      <w:r w:rsidR="00353EEB" w:rsidRPr="003016B1">
        <w:rPr>
          <w:rtl/>
        </w:rPr>
        <w:t xml:space="preserve"> וקבוצת חברי הכנסת (פ/2265/20).</w:t>
      </w:r>
    </w:p>
    <w:p w14:paraId="27137F7E" w14:textId="77777777" w:rsidR="005B70F9" w:rsidRPr="00D73212" w:rsidRDefault="005B70F9" w:rsidP="005B70F9">
      <w:pPr>
        <w:pStyle w:val="Hesber"/>
        <w:rPr>
          <w:color w:val="auto"/>
          <w:rtl/>
          <w:lang w:eastAsia="en-US"/>
        </w:rPr>
      </w:pPr>
      <w:r w:rsidRPr="00D73212">
        <w:rPr>
          <w:color w:val="auto"/>
          <w:rtl/>
          <w:lang w:eastAsia="en-US"/>
        </w:rPr>
        <w:t>---------------------------------</w:t>
      </w:r>
    </w:p>
    <w:p w14:paraId="320ECC1B" w14:textId="77777777" w:rsidR="005B70F9" w:rsidRPr="00D73212" w:rsidRDefault="005B70F9" w:rsidP="005B70F9">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7CB8FEA6" w14:textId="77777777" w:rsidR="005B70F9" w:rsidRPr="00D73212" w:rsidRDefault="005B70F9" w:rsidP="005B70F9">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600E1426" w14:textId="77777777" w:rsidR="005B70F9" w:rsidRPr="00317312" w:rsidRDefault="005B70F9" w:rsidP="005B70F9">
      <w:pPr>
        <w:pStyle w:val="Hesber"/>
      </w:pPr>
      <w:r>
        <w:rPr>
          <w:rFonts w:hint="cs"/>
          <w:color w:val="auto"/>
          <w:rtl/>
          <w:lang w:eastAsia="en-US"/>
        </w:rPr>
        <w:t>כ"ד באדר</w:t>
      </w:r>
      <w:r w:rsidRPr="00D73212">
        <w:rPr>
          <w:color w:val="auto"/>
          <w:rtl/>
          <w:lang w:eastAsia="en-US"/>
        </w:rPr>
        <w:t xml:space="preserve"> </w:t>
      </w:r>
      <w:proofErr w:type="spellStart"/>
      <w:r w:rsidRPr="00D73212">
        <w:rPr>
          <w:rFonts w:hint="cs"/>
          <w:color w:val="auto"/>
          <w:rtl/>
          <w:lang w:eastAsia="en-US"/>
        </w:rPr>
        <w:t>התשע</w:t>
      </w:r>
      <w:r w:rsidRPr="00D73212">
        <w:rPr>
          <w:color w:val="auto"/>
          <w:rtl/>
          <w:lang w:eastAsia="en-US"/>
        </w:rPr>
        <w:t>"</w:t>
      </w:r>
      <w:r>
        <w:rPr>
          <w:rFonts w:hint="cs"/>
          <w:color w:val="auto"/>
          <w:rtl/>
          <w:lang w:eastAsia="en-US"/>
        </w:rPr>
        <w:t>ז</w:t>
      </w:r>
      <w:proofErr w:type="spellEnd"/>
      <w:r w:rsidRPr="00D73212">
        <w:rPr>
          <w:color w:val="auto"/>
          <w:rtl/>
          <w:lang w:eastAsia="en-US"/>
        </w:rPr>
        <w:t xml:space="preserve"> – </w:t>
      </w:r>
      <w:r>
        <w:rPr>
          <w:rFonts w:hint="cs"/>
          <w:color w:val="auto"/>
          <w:rtl/>
          <w:lang w:eastAsia="en-US"/>
        </w:rPr>
        <w:t>22.3</w:t>
      </w:r>
      <w:r w:rsidRPr="00D73212">
        <w:rPr>
          <w:color w:val="auto"/>
          <w:rtl/>
          <w:lang w:eastAsia="en-US"/>
        </w:rPr>
        <w:t>.</w:t>
      </w:r>
      <w:r>
        <w:rPr>
          <w:rFonts w:hint="cs"/>
          <w:color w:val="auto"/>
          <w:rtl/>
          <w:lang w:eastAsia="en-US"/>
        </w:rPr>
        <w:t>17</w:t>
      </w:r>
    </w:p>
    <w:p w14:paraId="7F6961CB" w14:textId="77777777" w:rsidR="00E13C27" w:rsidRPr="005B70F9" w:rsidRDefault="00E13C27" w:rsidP="001963DF">
      <w:pPr>
        <w:pStyle w:val="Hesber"/>
        <w:rPr>
          <w:rtl/>
        </w:rPr>
      </w:pPr>
    </w:p>
    <w:sectPr w:rsidR="00E13C27" w:rsidRPr="005B70F9"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730AE" w14:textId="77777777" w:rsidR="00B134E9" w:rsidRDefault="00B134E9">
      <w:r>
        <w:separator/>
      </w:r>
    </w:p>
  </w:endnote>
  <w:endnote w:type="continuationSeparator" w:id="0">
    <w:p w14:paraId="6A77BF39" w14:textId="77777777" w:rsidR="00B134E9" w:rsidRDefault="00B134E9">
      <w:r>
        <w:continuationSeparator/>
      </w:r>
    </w:p>
  </w:endnote>
  <w:endnote w:type="continuationNotice" w:id="1">
    <w:p w14:paraId="23730D3E" w14:textId="77777777" w:rsidR="00B134E9" w:rsidRDefault="00B134E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Segoe UI"/>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1B46F4" w:rsidRDefault="001B46F4"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1B46F4" w:rsidRDefault="001B46F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1B46F4" w:rsidRDefault="001B46F4"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FD7368">
      <w:rPr>
        <w:rStyle w:val="ab"/>
        <w:noProof/>
        <w:rtl/>
      </w:rPr>
      <w:t>6</w:t>
    </w:r>
    <w:r>
      <w:rPr>
        <w:rStyle w:val="ab"/>
        <w:rtl/>
      </w:rPr>
      <w:fldChar w:fldCharType="end"/>
    </w:r>
  </w:p>
  <w:p w14:paraId="7F6961D8" w14:textId="77777777" w:rsidR="001B46F4" w:rsidRDefault="001B46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B083C" w14:textId="77777777" w:rsidR="00B134E9" w:rsidRDefault="00B134E9">
      <w:r>
        <w:separator/>
      </w:r>
    </w:p>
  </w:footnote>
  <w:footnote w:type="continuationSeparator" w:id="0">
    <w:p w14:paraId="786D4D1F" w14:textId="77777777" w:rsidR="00B134E9" w:rsidRDefault="00B134E9">
      <w:r>
        <w:continuationSeparator/>
      </w:r>
    </w:p>
  </w:footnote>
  <w:footnote w:type="continuationNotice" w:id="1">
    <w:p w14:paraId="3FF840D7" w14:textId="77777777" w:rsidR="00B134E9" w:rsidRDefault="00B134E9"/>
  </w:footnote>
  <w:footnote w:id="2">
    <w:p w14:paraId="0BE256CF" w14:textId="77777777" w:rsidR="001B46F4" w:rsidRDefault="001B46F4" w:rsidP="00353EEB">
      <w:pPr>
        <w:pStyle w:val="a4"/>
      </w:pPr>
      <w:r>
        <w:rPr>
          <w:rStyle w:val="a6"/>
        </w:rPr>
        <w:footnoteRef/>
      </w:r>
      <w:r>
        <w:rPr>
          <w:rtl/>
        </w:rPr>
        <w:t xml:space="preserve"> ס"ח </w:t>
      </w:r>
      <w:proofErr w:type="spellStart"/>
      <w:r>
        <w:rPr>
          <w:rtl/>
        </w:rPr>
        <w:t>התשנ"א</w:t>
      </w:r>
      <w:proofErr w:type="spellEnd"/>
      <w:r>
        <w:rPr>
          <w:rtl/>
        </w:rPr>
        <w:t>, עמ' 138.</w:t>
      </w:r>
    </w:p>
  </w:footnote>
  <w:footnote w:id="3">
    <w:p w14:paraId="2E5F908A" w14:textId="77777777" w:rsidR="005D53FC" w:rsidRDefault="005D53FC" w:rsidP="005D53FC">
      <w:pPr>
        <w:pStyle w:val="a4"/>
      </w:pPr>
      <w:r>
        <w:rPr>
          <w:rStyle w:val="a6"/>
        </w:rPr>
        <w:footnoteRef/>
      </w:r>
      <w:r>
        <w:rPr>
          <w:rtl/>
        </w:rPr>
        <w:t xml:space="preserve"> </w:t>
      </w:r>
      <w:r>
        <w:rPr>
          <w:rFonts w:hint="cs"/>
          <w:rtl/>
        </w:rPr>
        <w:t>דיני מדינת ישראל, נוסח חדש 25, עמ' 505.</w:t>
      </w:r>
    </w:p>
  </w:footnote>
  <w:footnote w:id="4">
    <w:p w14:paraId="0528F541" w14:textId="77777777" w:rsidR="001B46F4" w:rsidRDefault="001B46F4" w:rsidP="00353EEB">
      <w:pPr>
        <w:pStyle w:val="a4"/>
      </w:pPr>
      <w:r>
        <w:rPr>
          <w:rStyle w:val="a6"/>
        </w:rPr>
        <w:footnoteRef/>
      </w:r>
      <w:r>
        <w:rPr>
          <w:rtl/>
        </w:rPr>
        <w:t xml:space="preserve"> ס"ח </w:t>
      </w:r>
      <w:proofErr w:type="spellStart"/>
      <w:r>
        <w:rPr>
          <w:rtl/>
        </w:rPr>
        <w:t>התשנ"ה</w:t>
      </w:r>
      <w:proofErr w:type="spellEnd"/>
      <w:r>
        <w:rPr>
          <w:rtl/>
        </w:rPr>
        <w:t>, עמ' 366.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035A4CCC"/>
    <w:multiLevelType w:val="hybridMultilevel"/>
    <w:tmpl w:val="C9905192"/>
    <w:lvl w:ilvl="0" w:tplc="6F9041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14281"/>
    <w:multiLevelType w:val="hybridMultilevel"/>
    <w:tmpl w:val="479A69C0"/>
    <w:lvl w:ilvl="0" w:tplc="C7E2A8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D163D2"/>
    <w:multiLevelType w:val="hybridMultilevel"/>
    <w:tmpl w:val="93D4BC24"/>
    <w:lvl w:ilvl="0" w:tplc="C1D813C4">
      <w:start w:val="1"/>
      <w:numFmt w:val="decimal"/>
      <w:lvlText w:val="%1."/>
      <w:lvlJc w:val="left"/>
      <w:pPr>
        <w:ind w:left="786" w:hanging="360"/>
      </w:pPr>
      <w:rPr>
        <w:rFonts w:hint="default"/>
        <w:sz w:val="2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0E25595"/>
    <w:multiLevelType w:val="hybridMultilevel"/>
    <w:tmpl w:val="CA9C53A6"/>
    <w:lvl w:ilvl="0" w:tplc="A2762D36">
      <w:start w:val="1"/>
      <w:numFmt w:val="hebrew1"/>
      <w:lvlText w:val="(%1)"/>
      <w:lvlJc w:val="left"/>
      <w:pPr>
        <w:ind w:left="420" w:hanging="360"/>
      </w:pPr>
      <w:rPr>
        <w:rFonts w:ascii="David" w:hAnsi="David" w:cs="David" w:hint="default"/>
        <w:sz w:val="26"/>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373AC0"/>
    <w:multiLevelType w:val="hybridMultilevel"/>
    <w:tmpl w:val="64A0C0F6"/>
    <w:lvl w:ilvl="0" w:tplc="B0424C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DE534E"/>
    <w:multiLevelType w:val="hybridMultilevel"/>
    <w:tmpl w:val="067ADC64"/>
    <w:lvl w:ilvl="0" w:tplc="3AB6C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947F4A"/>
    <w:multiLevelType w:val="hybridMultilevel"/>
    <w:tmpl w:val="E36098A8"/>
    <w:lvl w:ilvl="0" w:tplc="FC6C60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B3941"/>
    <w:multiLevelType w:val="hybridMultilevel"/>
    <w:tmpl w:val="5F420412"/>
    <w:lvl w:ilvl="0" w:tplc="8C82FE54">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2A7544"/>
    <w:multiLevelType w:val="hybridMultilevel"/>
    <w:tmpl w:val="2E446DC8"/>
    <w:lvl w:ilvl="0" w:tplc="E2E29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A063C"/>
    <w:multiLevelType w:val="hybridMultilevel"/>
    <w:tmpl w:val="235E1E74"/>
    <w:lvl w:ilvl="0" w:tplc="A4AC0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666509"/>
    <w:multiLevelType w:val="hybridMultilevel"/>
    <w:tmpl w:val="F3AA4448"/>
    <w:lvl w:ilvl="0" w:tplc="0DEEBE90">
      <w:start w:val="1"/>
      <w:numFmt w:val="hebrew1"/>
      <w:lvlText w:val="(%1)"/>
      <w:lvlJc w:val="left"/>
      <w:pPr>
        <w:ind w:left="420" w:hanging="360"/>
      </w:pPr>
      <w:rPr>
        <w:rFonts w:ascii="David" w:hAnsi="David" w:cs="David" w:hint="default"/>
        <w:sz w:val="26"/>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3">
    <w:nsid w:val="6ACC6B24"/>
    <w:multiLevelType w:val="hybridMultilevel"/>
    <w:tmpl w:val="8C10DBDC"/>
    <w:lvl w:ilvl="0" w:tplc="443C233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A704FE"/>
    <w:multiLevelType w:val="hybridMultilevel"/>
    <w:tmpl w:val="74FC6888"/>
    <w:lvl w:ilvl="0" w:tplc="4F3E934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5"/>
  </w:num>
  <w:num w:numId="13">
    <w:abstractNumId w:val="14"/>
  </w:num>
  <w:num w:numId="14">
    <w:abstractNumId w:val="26"/>
  </w:num>
  <w:num w:numId="15">
    <w:abstractNumId w:val="12"/>
  </w:num>
  <w:num w:numId="16">
    <w:abstractNumId w:val="20"/>
  </w:num>
  <w:num w:numId="17">
    <w:abstractNumId w:val="19"/>
  </w:num>
  <w:num w:numId="18">
    <w:abstractNumId w:val="24"/>
  </w:num>
  <w:num w:numId="19">
    <w:abstractNumId w:val="17"/>
  </w:num>
  <w:num w:numId="20">
    <w:abstractNumId w:val="15"/>
  </w:num>
  <w:num w:numId="21">
    <w:abstractNumId w:val="10"/>
  </w:num>
  <w:num w:numId="22">
    <w:abstractNumId w:val="23"/>
  </w:num>
  <w:num w:numId="23">
    <w:abstractNumId w:val="11"/>
  </w:num>
  <w:num w:numId="24">
    <w:abstractNumId w:val="22"/>
  </w:num>
  <w:num w:numId="25">
    <w:abstractNumId w:val="21"/>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33A17"/>
    <w:rsid w:val="00063A3E"/>
    <w:rsid w:val="00072CAC"/>
    <w:rsid w:val="0007681A"/>
    <w:rsid w:val="000A542E"/>
    <w:rsid w:val="000C444D"/>
    <w:rsid w:val="000F1312"/>
    <w:rsid w:val="00102B6B"/>
    <w:rsid w:val="001052D4"/>
    <w:rsid w:val="0010644B"/>
    <w:rsid w:val="001207F8"/>
    <w:rsid w:val="00121924"/>
    <w:rsid w:val="001279A8"/>
    <w:rsid w:val="0014195F"/>
    <w:rsid w:val="00152609"/>
    <w:rsid w:val="00153E1B"/>
    <w:rsid w:val="00184B6D"/>
    <w:rsid w:val="001963DF"/>
    <w:rsid w:val="001A0623"/>
    <w:rsid w:val="001B46F4"/>
    <w:rsid w:val="001C23B0"/>
    <w:rsid w:val="001C31B5"/>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0658"/>
    <w:rsid w:val="002A487D"/>
    <w:rsid w:val="002C2E29"/>
    <w:rsid w:val="002C3041"/>
    <w:rsid w:val="002D1EE3"/>
    <w:rsid w:val="002F1D80"/>
    <w:rsid w:val="002F4220"/>
    <w:rsid w:val="003016B1"/>
    <w:rsid w:val="003232A2"/>
    <w:rsid w:val="00325C14"/>
    <w:rsid w:val="00353EEB"/>
    <w:rsid w:val="0036422C"/>
    <w:rsid w:val="003710F6"/>
    <w:rsid w:val="00386E88"/>
    <w:rsid w:val="00396585"/>
    <w:rsid w:val="00397060"/>
    <w:rsid w:val="003A7146"/>
    <w:rsid w:val="003D6E38"/>
    <w:rsid w:val="003D74A0"/>
    <w:rsid w:val="004033D8"/>
    <w:rsid w:val="004073F0"/>
    <w:rsid w:val="00412A7D"/>
    <w:rsid w:val="00416B4D"/>
    <w:rsid w:val="00417CFC"/>
    <w:rsid w:val="00446AFF"/>
    <w:rsid w:val="00473EF2"/>
    <w:rsid w:val="004A06DC"/>
    <w:rsid w:val="004B24ED"/>
    <w:rsid w:val="004B6625"/>
    <w:rsid w:val="004D2D82"/>
    <w:rsid w:val="004D3876"/>
    <w:rsid w:val="004E4552"/>
    <w:rsid w:val="004E6CDF"/>
    <w:rsid w:val="00545D23"/>
    <w:rsid w:val="00553C9D"/>
    <w:rsid w:val="00562A66"/>
    <w:rsid w:val="005B064E"/>
    <w:rsid w:val="005B70F9"/>
    <w:rsid w:val="005D51AE"/>
    <w:rsid w:val="005D53FC"/>
    <w:rsid w:val="00601E08"/>
    <w:rsid w:val="00623D93"/>
    <w:rsid w:val="0062674B"/>
    <w:rsid w:val="006363B2"/>
    <w:rsid w:val="00644940"/>
    <w:rsid w:val="006818A9"/>
    <w:rsid w:val="006942F0"/>
    <w:rsid w:val="006A2D81"/>
    <w:rsid w:val="006C1D0D"/>
    <w:rsid w:val="0070601E"/>
    <w:rsid w:val="00706F87"/>
    <w:rsid w:val="00711C10"/>
    <w:rsid w:val="00712C72"/>
    <w:rsid w:val="00717FEB"/>
    <w:rsid w:val="00735FE9"/>
    <w:rsid w:val="00763CAA"/>
    <w:rsid w:val="00765F66"/>
    <w:rsid w:val="0078664F"/>
    <w:rsid w:val="007B43AA"/>
    <w:rsid w:val="007C3FA6"/>
    <w:rsid w:val="007C6138"/>
    <w:rsid w:val="007D585A"/>
    <w:rsid w:val="007D5A12"/>
    <w:rsid w:val="007E59F9"/>
    <w:rsid w:val="007F5A3E"/>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329AA"/>
    <w:rsid w:val="00943386"/>
    <w:rsid w:val="009456B6"/>
    <w:rsid w:val="00957589"/>
    <w:rsid w:val="00966D06"/>
    <w:rsid w:val="00982412"/>
    <w:rsid w:val="00983A8D"/>
    <w:rsid w:val="009A0DB8"/>
    <w:rsid w:val="009A7257"/>
    <w:rsid w:val="009A73A5"/>
    <w:rsid w:val="009B6AD3"/>
    <w:rsid w:val="009D6E0A"/>
    <w:rsid w:val="009E1E33"/>
    <w:rsid w:val="00A14672"/>
    <w:rsid w:val="00A26BD6"/>
    <w:rsid w:val="00A443CF"/>
    <w:rsid w:val="00A47F08"/>
    <w:rsid w:val="00A6611D"/>
    <w:rsid w:val="00A82CB7"/>
    <w:rsid w:val="00A942C1"/>
    <w:rsid w:val="00AA2F03"/>
    <w:rsid w:val="00AC36F7"/>
    <w:rsid w:val="00AC63A4"/>
    <w:rsid w:val="00AD239E"/>
    <w:rsid w:val="00B10265"/>
    <w:rsid w:val="00B134E9"/>
    <w:rsid w:val="00B16A99"/>
    <w:rsid w:val="00B21211"/>
    <w:rsid w:val="00B35784"/>
    <w:rsid w:val="00B733A7"/>
    <w:rsid w:val="00B75C91"/>
    <w:rsid w:val="00B975AD"/>
    <w:rsid w:val="00BA6CBD"/>
    <w:rsid w:val="00BC3AE5"/>
    <w:rsid w:val="00BC45FB"/>
    <w:rsid w:val="00BF148D"/>
    <w:rsid w:val="00C23B1A"/>
    <w:rsid w:val="00C310EB"/>
    <w:rsid w:val="00C32FE1"/>
    <w:rsid w:val="00C9176A"/>
    <w:rsid w:val="00CF1AA2"/>
    <w:rsid w:val="00CF6896"/>
    <w:rsid w:val="00D17774"/>
    <w:rsid w:val="00D431C7"/>
    <w:rsid w:val="00D63620"/>
    <w:rsid w:val="00D8410D"/>
    <w:rsid w:val="00D867D7"/>
    <w:rsid w:val="00DB7060"/>
    <w:rsid w:val="00DC66F5"/>
    <w:rsid w:val="00DE3153"/>
    <w:rsid w:val="00E06736"/>
    <w:rsid w:val="00E13C27"/>
    <w:rsid w:val="00E33BBD"/>
    <w:rsid w:val="00E36B6F"/>
    <w:rsid w:val="00E374F2"/>
    <w:rsid w:val="00E45103"/>
    <w:rsid w:val="00E55A60"/>
    <w:rsid w:val="00E62778"/>
    <w:rsid w:val="00E63D38"/>
    <w:rsid w:val="00E665B9"/>
    <w:rsid w:val="00EA01E6"/>
    <w:rsid w:val="00EA3DE8"/>
    <w:rsid w:val="00EA758F"/>
    <w:rsid w:val="00ED4A6F"/>
    <w:rsid w:val="00EF3A3A"/>
    <w:rsid w:val="00F32514"/>
    <w:rsid w:val="00F44544"/>
    <w:rsid w:val="00F53427"/>
    <w:rsid w:val="00F628D6"/>
    <w:rsid w:val="00F67051"/>
    <w:rsid w:val="00F718E5"/>
    <w:rsid w:val="00F86A1E"/>
    <w:rsid w:val="00FA5E88"/>
    <w:rsid w:val="00FD7368"/>
    <w:rsid w:val="00FE2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44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0C444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0C444D"/>
    <w:rPr>
      <w:sz w:val="36"/>
      <w:szCs w:val="52"/>
    </w:rPr>
  </w:style>
  <w:style w:type="paragraph" w:customStyle="1" w:styleId="Cover3-Haknesset">
    <w:name w:val="Cover 3-Haknesset"/>
    <w:basedOn w:val="Cover1-Reshumot"/>
    <w:rsid w:val="000C444D"/>
    <w:rPr>
      <w:b/>
      <w:bCs/>
      <w:spacing w:val="60"/>
    </w:rPr>
  </w:style>
  <w:style w:type="paragraph" w:customStyle="1" w:styleId="Cover4-Date">
    <w:name w:val="Cover 4-Date"/>
    <w:basedOn w:val="a"/>
    <w:rsid w:val="000C444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0C444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0C444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0C444D"/>
    <w:pPr>
      <w:spacing w:before="120" w:after="120"/>
    </w:pPr>
    <w:rPr>
      <w:color w:val="FF0000"/>
      <w:w w:val="80"/>
    </w:rPr>
  </w:style>
  <w:style w:type="paragraph" w:styleId="a3">
    <w:name w:val="endnote text"/>
    <w:basedOn w:val="a"/>
    <w:semiHidden/>
    <w:rsid w:val="000C444D"/>
    <w:pPr>
      <w:ind w:left="227" w:hanging="227"/>
    </w:pPr>
    <w:rPr>
      <w:sz w:val="14"/>
      <w:szCs w:val="22"/>
    </w:rPr>
  </w:style>
  <w:style w:type="paragraph" w:customStyle="1" w:styleId="TableText">
    <w:name w:val="Table Text"/>
    <w:basedOn w:val="a"/>
    <w:rsid w:val="000C444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0C444D"/>
  </w:style>
  <w:style w:type="paragraph" w:customStyle="1" w:styleId="TableBlock">
    <w:name w:val="Table Block"/>
    <w:basedOn w:val="TableText"/>
    <w:rsid w:val="000C444D"/>
    <w:pPr>
      <w:ind w:right="0"/>
      <w:jc w:val="both"/>
    </w:pPr>
  </w:style>
  <w:style w:type="paragraph" w:customStyle="1" w:styleId="TableHead">
    <w:name w:val="Table Head"/>
    <w:basedOn w:val="TableText"/>
    <w:rsid w:val="000C444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0C444D"/>
  </w:style>
  <w:style w:type="paragraph" w:customStyle="1" w:styleId="Hesber">
    <w:name w:val="Hesber"/>
    <w:basedOn w:val="a"/>
    <w:rsid w:val="000C444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rsid w:val="000C444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0C444D"/>
    <w:rPr>
      <w:vertAlign w:val="superscript"/>
    </w:rPr>
  </w:style>
  <w:style w:type="paragraph" w:customStyle="1" w:styleId="HesberHeading">
    <w:name w:val="Hesber Heading"/>
    <w:basedOn w:val="Hesber"/>
    <w:rsid w:val="000C444D"/>
    <w:pPr>
      <w:tabs>
        <w:tab w:val="left" w:pos="624"/>
        <w:tab w:val="left" w:pos="1247"/>
      </w:tabs>
      <w:ind w:firstLine="0"/>
    </w:pPr>
    <w:rPr>
      <w:b/>
      <w:bCs/>
    </w:rPr>
  </w:style>
  <w:style w:type="paragraph" w:customStyle="1" w:styleId="HesberWriters">
    <w:name w:val="Hesber Writers"/>
    <w:basedOn w:val="Hesber"/>
    <w:rsid w:val="000C444D"/>
    <w:pPr>
      <w:spacing w:before="120" w:after="6000"/>
      <w:ind w:left="1418" w:firstLine="0"/>
      <w:jc w:val="right"/>
    </w:pPr>
    <w:rPr>
      <w:b/>
      <w:bCs/>
    </w:rPr>
  </w:style>
  <w:style w:type="paragraph" w:customStyle="1" w:styleId="Hesber1st">
    <w:name w:val="Hesber 1st"/>
    <w:basedOn w:val="Hesber"/>
    <w:rsid w:val="000C444D"/>
    <w:pPr>
      <w:tabs>
        <w:tab w:val="left" w:pos="680"/>
        <w:tab w:val="left" w:pos="1020"/>
      </w:tabs>
      <w:ind w:firstLine="0"/>
    </w:pPr>
  </w:style>
  <w:style w:type="character" w:styleId="a7">
    <w:name w:val="endnote reference"/>
    <w:basedOn w:val="a0"/>
    <w:semiHidden/>
    <w:rsid w:val="000C444D"/>
    <w:rPr>
      <w:vertAlign w:val="superscript"/>
    </w:rPr>
  </w:style>
  <w:style w:type="paragraph" w:customStyle="1" w:styleId="TableBlockOutdent">
    <w:name w:val="Table BlockOutdent"/>
    <w:basedOn w:val="TableBlock"/>
    <w:rsid w:val="000C444D"/>
    <w:pPr>
      <w:ind w:left="624" w:hanging="624"/>
    </w:pPr>
  </w:style>
  <w:style w:type="paragraph" w:styleId="a8">
    <w:name w:val="header"/>
    <w:basedOn w:val="a"/>
    <w:rsid w:val="000C444D"/>
    <w:pPr>
      <w:tabs>
        <w:tab w:val="center" w:pos="4153"/>
        <w:tab w:val="right" w:pos="8306"/>
      </w:tabs>
    </w:pPr>
  </w:style>
  <w:style w:type="paragraph" w:styleId="a9">
    <w:name w:val="footer"/>
    <w:basedOn w:val="a"/>
    <w:rsid w:val="000C444D"/>
    <w:pPr>
      <w:tabs>
        <w:tab w:val="center" w:pos="4153"/>
        <w:tab w:val="right" w:pos="8306"/>
      </w:tabs>
    </w:pPr>
  </w:style>
  <w:style w:type="paragraph" w:customStyle="1" w:styleId="HeadDivreiHesber">
    <w:name w:val="Head DivreiHesber"/>
    <w:basedOn w:val="a"/>
    <w:rsid w:val="000C444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0C444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0C444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locked/>
    <w:rsid w:val="002A0658"/>
    <w:rPr>
      <w:rFonts w:ascii="Arial" w:eastAsia="Arial Unicode MS" w:hAnsi="Arial" w:cs="David"/>
      <w:snapToGrid w:val="0"/>
      <w:color w:val="000000"/>
      <w:sz w:val="14"/>
      <w:lang w:eastAsia="ja-JP"/>
    </w:rPr>
  </w:style>
  <w:style w:type="paragraph" w:styleId="ae">
    <w:name w:val="Revision"/>
    <w:hidden/>
    <w:uiPriority w:val="99"/>
    <w:semiHidden/>
    <w:rsid w:val="009B6AD3"/>
    <w:rPr>
      <w:rFonts w:ascii="Hadasa Roso SL" w:hAnsi="Hadasa Roso SL" w:cs="Hadasa Roso SL"/>
      <w:color w:val="000000"/>
      <w:spacing w:val="1"/>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D878D3-9B37-4278-891C-58A117104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332F9A-2AE1-4D32-8C62-4D6A30E2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8313</Characters>
  <Application>Microsoft Office Word</Application>
  <DocSecurity>0</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‏‏משתמש Windows</cp:lastModifiedBy>
  <cp:revision>2</cp:revision>
  <cp:lastPrinted>2017-03-22T11:31:00Z</cp:lastPrinted>
  <dcterms:created xsi:type="dcterms:W3CDTF">2017-07-16T14:14:00Z</dcterms:created>
  <dcterms:modified xsi:type="dcterms:W3CDTF">2017-07-16T14:14:00Z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2014407</vt:r8>
  </property>
</Properties>
</file>